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5E44" w14:textId="77777777" w:rsidR="003A19FB" w:rsidRPr="003A19FB" w:rsidRDefault="003A19FB" w:rsidP="003A19FB">
      <w:pPr>
        <w:widowControl/>
        <w:shd w:val="clear" w:color="auto" w:fill="FFFFFF"/>
        <w:spacing w:before="100" w:beforeAutospacing="1" w:after="100" w:afterAutospacing="1"/>
        <w:jc w:val="center"/>
        <w:outlineLvl w:val="0"/>
        <w:rPr>
          <w:rFonts w:ascii="微软雅黑" w:eastAsia="微软雅黑" w:hAnsi="微软雅黑" w:cs="宋体"/>
          <w:b/>
          <w:bCs/>
          <w:color w:val="AB161C"/>
          <w:kern w:val="36"/>
          <w:sz w:val="48"/>
          <w:szCs w:val="48"/>
        </w:rPr>
      </w:pPr>
      <w:r w:rsidRPr="003A19FB">
        <w:rPr>
          <w:rFonts w:ascii="微软雅黑" w:eastAsia="微软雅黑" w:hAnsi="微软雅黑" w:cs="宋体" w:hint="eastAsia"/>
          <w:b/>
          <w:bCs/>
          <w:color w:val="AB161C"/>
          <w:kern w:val="36"/>
          <w:sz w:val="48"/>
          <w:szCs w:val="48"/>
        </w:rPr>
        <w:t>中央机关及其直属机构2024年度考试录用公务员公共科目笔试考试大纲</w:t>
      </w:r>
    </w:p>
    <w:p w14:paraId="77A82E4B" w14:textId="77777777" w:rsidR="003A19FB" w:rsidRPr="003A19FB" w:rsidRDefault="003A19FB" w:rsidP="003A19FB">
      <w:pPr>
        <w:widowControl/>
        <w:shd w:val="clear" w:color="auto" w:fill="FFFFFF"/>
        <w:jc w:val="left"/>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24"/>
          <w:szCs w:val="24"/>
        </w:rPr>
        <w:t>发布日期：2023-10-14</w:t>
      </w:r>
    </w:p>
    <w:p w14:paraId="0A04DA0D" w14:textId="77777777" w:rsidR="003A19FB" w:rsidRPr="003A19FB" w:rsidRDefault="003A19FB" w:rsidP="003A19FB">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公务员是干部队伍的重要组成部分，是社会主义事业的中坚力量，是人民的公仆。公务员录用是各级机关选拔一级主任科员以下及其他相当职级层次公务员的主要方式。公务员录用坚持以习近平新时代中国特色社会主义思想为指导，以建设高素质专业化队伍为目标，坚持公开、平等、竞争、择优原则。中央公务员主管部门负责组织中央机关及其直属机构公务员的录用。</w:t>
      </w:r>
    </w:p>
    <w:p w14:paraId="772DE04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color w:val="333333"/>
          <w:kern w:val="0"/>
          <w:sz w:val="32"/>
          <w:szCs w:val="32"/>
        </w:rPr>
        <w:t>公共科目笔试是公务员录用工作的重要环节，笔试内容坚持思想引领，突出公务员的政治标准和政治属性，重点测查用党的创新理论指导分析和解决问题的能力，教育引导报考者自觉做习近平新时代中国特色社会主义思想的坚定信仰者和忠实实践者；注重能力导向，主要测查从事公务员工作应当具备的基本能力和基本素质，教育引导报考者注重平时学习积累和能力提升；实行分类分级，突出人事相宜，根据不同职位类别、不同层级机关的特点分别设置，以提高测评的科学性精准性；坚持公平公正，对各类报考者一视同仁，试题使用素材具有通用性。</w:t>
      </w:r>
    </w:p>
    <w:p w14:paraId="3602603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color w:val="333333"/>
          <w:kern w:val="0"/>
          <w:sz w:val="32"/>
          <w:szCs w:val="32"/>
        </w:rPr>
        <w:lastRenderedPageBreak/>
        <w:t>中央机关及其直属机构</w:t>
      </w:r>
      <w:r w:rsidRPr="003A19FB">
        <w:rPr>
          <w:rFonts w:ascii="微软雅黑" w:eastAsia="微软雅黑" w:hAnsi="微软雅黑" w:cs="宋体" w:hint="eastAsia"/>
          <w:color w:val="333333"/>
          <w:kern w:val="0"/>
          <w:sz w:val="32"/>
          <w:szCs w:val="32"/>
        </w:rPr>
        <w:t>2024</w:t>
      </w:r>
      <w:r w:rsidRPr="003A19FB">
        <w:rPr>
          <w:rFonts w:ascii="仿宋_GB2312" w:eastAsia="仿宋_GB2312" w:hAnsi="微软雅黑" w:cs="宋体" w:hint="eastAsia"/>
          <w:color w:val="333333"/>
          <w:kern w:val="0"/>
          <w:sz w:val="32"/>
          <w:szCs w:val="32"/>
        </w:rPr>
        <w:t>年度考试录用公务员公共科目笔试分为行政职业能力测验和申论两科，全部采用闭卷考试的方式。其中，行政职业能力测验为客观性试题，考试时限</w:t>
      </w:r>
      <w:r w:rsidRPr="003A19FB">
        <w:rPr>
          <w:rFonts w:ascii="微软雅黑" w:eastAsia="微软雅黑" w:hAnsi="微软雅黑" w:cs="宋体" w:hint="eastAsia"/>
          <w:color w:val="333333"/>
          <w:kern w:val="0"/>
          <w:sz w:val="32"/>
          <w:szCs w:val="32"/>
        </w:rPr>
        <w:t>120</w:t>
      </w:r>
      <w:r w:rsidRPr="003A19FB">
        <w:rPr>
          <w:rFonts w:ascii="仿宋_GB2312" w:eastAsia="仿宋_GB2312" w:hAnsi="微软雅黑" w:cs="宋体" w:hint="eastAsia"/>
          <w:color w:val="333333"/>
          <w:kern w:val="0"/>
          <w:sz w:val="32"/>
          <w:szCs w:val="32"/>
        </w:rPr>
        <w:t>分钟，满分</w:t>
      </w:r>
      <w:r w:rsidRPr="003A19FB">
        <w:rPr>
          <w:rFonts w:ascii="微软雅黑" w:eastAsia="微软雅黑" w:hAnsi="微软雅黑" w:cs="宋体" w:hint="eastAsia"/>
          <w:color w:val="333333"/>
          <w:kern w:val="0"/>
          <w:sz w:val="32"/>
          <w:szCs w:val="32"/>
        </w:rPr>
        <w:t>100</w:t>
      </w:r>
      <w:r w:rsidRPr="003A19FB">
        <w:rPr>
          <w:rFonts w:ascii="仿宋_GB2312" w:eastAsia="仿宋_GB2312" w:hAnsi="微软雅黑" w:cs="宋体" w:hint="eastAsia"/>
          <w:color w:val="333333"/>
          <w:kern w:val="0"/>
          <w:sz w:val="32"/>
          <w:szCs w:val="32"/>
        </w:rPr>
        <w:t>分。申论为主观性试题，考试时限</w:t>
      </w:r>
      <w:r w:rsidRPr="003A19FB">
        <w:rPr>
          <w:rFonts w:ascii="微软雅黑" w:eastAsia="微软雅黑" w:hAnsi="微软雅黑" w:cs="宋体" w:hint="eastAsia"/>
          <w:color w:val="333333"/>
          <w:kern w:val="0"/>
          <w:sz w:val="32"/>
          <w:szCs w:val="32"/>
        </w:rPr>
        <w:t>180</w:t>
      </w:r>
      <w:r w:rsidRPr="003A19FB">
        <w:rPr>
          <w:rFonts w:ascii="仿宋_GB2312" w:eastAsia="仿宋_GB2312" w:hAnsi="微软雅黑" w:cs="宋体" w:hint="eastAsia"/>
          <w:color w:val="333333"/>
          <w:kern w:val="0"/>
          <w:sz w:val="32"/>
          <w:szCs w:val="32"/>
        </w:rPr>
        <w:t>分钟，满分</w:t>
      </w:r>
      <w:r w:rsidRPr="003A19FB">
        <w:rPr>
          <w:rFonts w:ascii="微软雅黑" w:eastAsia="微软雅黑" w:hAnsi="微软雅黑" w:cs="宋体" w:hint="eastAsia"/>
          <w:color w:val="333333"/>
          <w:kern w:val="0"/>
          <w:sz w:val="32"/>
          <w:szCs w:val="32"/>
        </w:rPr>
        <w:t>100</w:t>
      </w:r>
      <w:r w:rsidRPr="003A19FB">
        <w:rPr>
          <w:rFonts w:ascii="仿宋_GB2312" w:eastAsia="仿宋_GB2312" w:hAnsi="微软雅黑" w:cs="宋体" w:hint="eastAsia"/>
          <w:color w:val="333333"/>
          <w:kern w:val="0"/>
          <w:sz w:val="32"/>
          <w:szCs w:val="32"/>
        </w:rPr>
        <w:t>分。</w:t>
      </w:r>
    </w:p>
    <w:p w14:paraId="1432A04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黑体" w:eastAsia="黑体" w:hAnsi="黑体" w:cs="宋体" w:hint="eastAsia"/>
          <w:color w:val="333333"/>
          <w:kern w:val="0"/>
          <w:sz w:val="32"/>
          <w:szCs w:val="32"/>
        </w:rPr>
        <w:t>一、行政职业能力测验</w:t>
      </w:r>
    </w:p>
    <w:p w14:paraId="753AE23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color w:val="333333"/>
          <w:kern w:val="0"/>
          <w:sz w:val="32"/>
          <w:szCs w:val="32"/>
        </w:rPr>
        <w:t>行政职业能力测验试卷包括“注意事项”和试题。“注意事项”是对行政职业能力测验试卷作答提出的重要指导性建议，包括试卷构成、作答时间、作答时需要特别注意的事项等。考试时，报考者应仔细阅读“注意事项”，遵守相关要求，合理把握作答时间，正确填写填涂姓名、准考证号等信息。试题分为常识判断、言语理解与表达、数量关系、判断推理和资料分析等部分。</w:t>
      </w:r>
    </w:p>
    <w:p w14:paraId="6F0604F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（一）常识判断。</w:t>
      </w:r>
      <w:r w:rsidRPr="003A19FB">
        <w:rPr>
          <w:rFonts w:ascii="仿宋_GB2312" w:eastAsia="仿宋_GB2312" w:hAnsi="微软雅黑" w:cs="宋体" w:hint="eastAsia"/>
          <w:color w:val="333333"/>
          <w:kern w:val="0"/>
          <w:sz w:val="32"/>
          <w:szCs w:val="32"/>
        </w:rPr>
        <w:t>主要测查报考者在政治、经济、文化、科技等方面应知应会的基本知识以及运用这些知识进行分析判断的基本能力。</w:t>
      </w:r>
    </w:p>
    <w:p w14:paraId="54F96A9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例题1：党的二十大报告指出，从现在起，中国共产党的中心任务就是团结带领全国各族人民全面建成社会主义现代化强国、实现第二个百年奋斗目标，以中国式现代化全</w:t>
      </w:r>
      <w:r w:rsidRPr="003A19FB">
        <w:rPr>
          <w:rFonts w:ascii="楷体_GB2312" w:eastAsia="楷体_GB2312" w:hAnsi="微软雅黑" w:cs="宋体" w:hint="eastAsia"/>
          <w:color w:val="333333"/>
          <w:kern w:val="0"/>
          <w:sz w:val="32"/>
          <w:szCs w:val="32"/>
        </w:rPr>
        <w:lastRenderedPageBreak/>
        <w:t>面推进中华民族伟大复兴。下列对中国式现代化的理解，正确的有几项？</w:t>
      </w:r>
    </w:p>
    <w:p w14:paraId="7F7B3496" w14:textId="77777777" w:rsidR="003A19FB" w:rsidRPr="003A19FB" w:rsidRDefault="003A19FB" w:rsidP="003A19FB">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①坚持把实现人民对美好生活的向往作为现代化建设的出发点和落脚点</w:t>
      </w:r>
    </w:p>
    <w:p w14:paraId="349D69DC" w14:textId="77777777" w:rsidR="003A19FB" w:rsidRPr="003A19FB" w:rsidRDefault="003A19FB" w:rsidP="003A19FB">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②共同富裕是社会主义的本质要求，是中国式现代化的重要特征</w:t>
      </w:r>
    </w:p>
    <w:p w14:paraId="15F2F112" w14:textId="77777777" w:rsidR="003A19FB" w:rsidRPr="003A19FB" w:rsidRDefault="003A19FB" w:rsidP="003A19FB">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③在物质文明方面超越西方发达国家，是中国式现代化的主要目标</w:t>
      </w:r>
    </w:p>
    <w:p w14:paraId="2416F258" w14:textId="77777777" w:rsidR="003A19FB" w:rsidRPr="003A19FB" w:rsidRDefault="003A19FB" w:rsidP="003A19FB">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④遵循世界各国现代化的共同模式，是中国式现代化道路的基本经验</w:t>
      </w:r>
    </w:p>
    <w:p w14:paraId="1F5BD34B" w14:textId="77777777" w:rsidR="003A19FB" w:rsidRPr="003A19FB" w:rsidRDefault="003A19FB" w:rsidP="003A19FB">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⑤中国式现代化新道路，创造了人类文明新形态</w:t>
      </w:r>
    </w:p>
    <w:p w14:paraId="20C5960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项</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项</w:t>
      </w:r>
    </w:p>
    <w:p w14:paraId="571848D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项</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项</w:t>
      </w:r>
    </w:p>
    <w:p w14:paraId="59AFBEA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w:t>
      </w:r>
      <w:r w:rsidRPr="003A19FB">
        <w:rPr>
          <w:rFonts w:ascii="楷体_GB2312" w:eastAsia="楷体_GB2312" w:hAnsi="微软雅黑" w:cs="宋体" w:hint="eastAsia"/>
          <w:color w:val="333333"/>
          <w:kern w:val="0"/>
          <w:sz w:val="32"/>
          <w:szCs w:val="32"/>
        </w:rPr>
        <w:lastRenderedPageBreak/>
        <w:t>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4631858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：发展必须是科学发展，必须坚定不移贯彻创新、协调、绿色、开放、共享的发展理念。下列与之有关的说法，正确的有几项？</w:t>
      </w:r>
    </w:p>
    <w:p w14:paraId="74DD423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①创新发展注重的是解决发展动力问题</w:t>
      </w:r>
    </w:p>
    <w:p w14:paraId="6743446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②协调发展注重的是解决社会公平正义问题</w:t>
      </w:r>
    </w:p>
    <w:p w14:paraId="1AA4E5D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③绿色发展注重的是解决人与自然和谐共生问题</w:t>
      </w:r>
    </w:p>
    <w:p w14:paraId="43120D3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④开放发展注重的是解决发展内外联动问题</w:t>
      </w:r>
    </w:p>
    <w:p w14:paraId="26920C5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⑤共享发展注重的是解决发展不平衡问题</w:t>
      </w:r>
    </w:p>
    <w:p w14:paraId="4BEF334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项</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项</w:t>
      </w:r>
    </w:p>
    <w:p w14:paraId="328EF8F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项</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项</w:t>
      </w:r>
    </w:p>
    <w:p w14:paraId="31F120B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lastRenderedPageBreak/>
        <w:t>（答案：</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p>
    <w:p w14:paraId="0A80432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：下列毛泽东诗词与创作背景对应正确的是：</w:t>
      </w:r>
    </w:p>
    <w:p w14:paraId="759C0321"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．宜将剩勇追穷寇，不可沽名学霸王</w:t>
      </w:r>
      <w:r w:rsidRPr="003A19FB">
        <w:rPr>
          <w:rFonts w:ascii="微软雅黑" w:eastAsia="微软雅黑" w:hAnsi="微软雅黑" w:cs="宋体" w:hint="eastAsia"/>
          <w:color w:val="333333"/>
          <w:kern w:val="0"/>
          <w:sz w:val="32"/>
          <w:szCs w:val="32"/>
        </w:rPr>
        <w:t>——1949</w:t>
      </w:r>
      <w:r w:rsidRPr="003A19FB">
        <w:rPr>
          <w:rFonts w:ascii="楷体_GB2312" w:eastAsia="楷体_GB2312" w:hAnsi="微软雅黑" w:cs="宋体" w:hint="eastAsia"/>
          <w:color w:val="333333"/>
          <w:kern w:val="0"/>
          <w:sz w:val="32"/>
          <w:szCs w:val="32"/>
        </w:rPr>
        <w:t>年解放南京</w:t>
      </w:r>
    </w:p>
    <w:p w14:paraId="7D310764"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．三十八年过去，弹指一挥间。可上九天揽月，可下五洋捉鳖，谈笑凯歌还</w:t>
      </w:r>
      <w:r w:rsidRPr="003A19FB">
        <w:rPr>
          <w:rFonts w:ascii="微软雅黑" w:eastAsia="微软雅黑" w:hAnsi="微软雅黑" w:cs="宋体" w:hint="eastAsia"/>
          <w:color w:val="333333"/>
          <w:kern w:val="0"/>
          <w:sz w:val="32"/>
          <w:szCs w:val="32"/>
        </w:rPr>
        <w:t>——1941</w:t>
      </w:r>
      <w:r w:rsidRPr="003A19FB">
        <w:rPr>
          <w:rFonts w:ascii="楷体_GB2312" w:eastAsia="楷体_GB2312" w:hAnsi="微软雅黑" w:cs="宋体" w:hint="eastAsia"/>
          <w:color w:val="333333"/>
          <w:kern w:val="0"/>
          <w:sz w:val="32"/>
          <w:szCs w:val="32"/>
        </w:rPr>
        <w:t>年延安整风运动</w:t>
      </w:r>
    </w:p>
    <w:p w14:paraId="5CF571A6"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．军叫工农革命，旗号镰刀斧头。匡庐一带不停留，要向潇湘直进</w:t>
      </w:r>
      <w:r w:rsidRPr="003A19FB">
        <w:rPr>
          <w:rFonts w:ascii="微软雅黑" w:eastAsia="微软雅黑" w:hAnsi="微软雅黑" w:cs="宋体" w:hint="eastAsia"/>
          <w:color w:val="333333"/>
          <w:kern w:val="0"/>
          <w:sz w:val="32"/>
          <w:szCs w:val="32"/>
        </w:rPr>
        <w:t>——1948</w:t>
      </w:r>
      <w:r w:rsidRPr="003A19FB">
        <w:rPr>
          <w:rFonts w:ascii="楷体_GB2312" w:eastAsia="楷体_GB2312" w:hAnsi="微软雅黑" w:cs="宋体" w:hint="eastAsia"/>
          <w:color w:val="333333"/>
          <w:kern w:val="0"/>
          <w:sz w:val="32"/>
          <w:szCs w:val="32"/>
        </w:rPr>
        <w:t>年淮海战役</w:t>
      </w:r>
    </w:p>
    <w:p w14:paraId="4F15E3EA"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．金沙水拍云崖暖，大渡桥横铁索寒</w:t>
      </w:r>
      <w:r w:rsidRPr="003A19FB">
        <w:rPr>
          <w:rFonts w:ascii="微软雅黑" w:eastAsia="微软雅黑" w:hAnsi="微软雅黑" w:cs="宋体" w:hint="eastAsia"/>
          <w:color w:val="333333"/>
          <w:kern w:val="0"/>
          <w:sz w:val="32"/>
          <w:szCs w:val="32"/>
        </w:rPr>
        <w:t>——1930</w:t>
      </w:r>
      <w:r w:rsidRPr="003A19FB">
        <w:rPr>
          <w:rFonts w:ascii="楷体_GB2312" w:eastAsia="楷体_GB2312" w:hAnsi="微软雅黑" w:cs="宋体" w:hint="eastAsia"/>
          <w:color w:val="333333"/>
          <w:kern w:val="0"/>
          <w:sz w:val="32"/>
          <w:szCs w:val="32"/>
        </w:rPr>
        <w:t>年第一次反</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围剿</w:t>
      </w:r>
      <w:r w:rsidRPr="003A19FB">
        <w:rPr>
          <w:rFonts w:ascii="微软雅黑" w:eastAsia="微软雅黑" w:hAnsi="微软雅黑" w:cs="宋体" w:hint="eastAsia"/>
          <w:color w:val="333333"/>
          <w:kern w:val="0"/>
          <w:sz w:val="32"/>
          <w:szCs w:val="32"/>
        </w:rPr>
        <w:t>”</w:t>
      </w:r>
    </w:p>
    <w:p w14:paraId="15D5767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选项，出自《七律·人民解放军占领南京》。</w:t>
      </w:r>
      <w:r w:rsidRPr="003A19FB">
        <w:rPr>
          <w:rFonts w:ascii="微软雅黑" w:eastAsia="微软雅黑" w:hAnsi="微软雅黑" w:cs="宋体" w:hint="eastAsia"/>
          <w:color w:val="333333"/>
          <w:kern w:val="0"/>
          <w:sz w:val="32"/>
          <w:szCs w:val="32"/>
        </w:rPr>
        <w:t>1949</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月</w:t>
      </w:r>
      <w:r w:rsidRPr="003A19FB">
        <w:rPr>
          <w:rFonts w:ascii="微软雅黑" w:eastAsia="微软雅黑" w:hAnsi="微软雅黑" w:cs="宋体" w:hint="eastAsia"/>
          <w:color w:val="333333"/>
          <w:kern w:val="0"/>
          <w:sz w:val="32"/>
          <w:szCs w:val="32"/>
        </w:rPr>
        <w:t>23</w:t>
      </w:r>
      <w:r w:rsidRPr="003A19FB">
        <w:rPr>
          <w:rFonts w:ascii="楷体_GB2312" w:eastAsia="楷体_GB2312" w:hAnsi="微软雅黑" w:cs="宋体" w:hint="eastAsia"/>
          <w:color w:val="333333"/>
          <w:kern w:val="0"/>
          <w:sz w:val="32"/>
          <w:szCs w:val="32"/>
        </w:rPr>
        <w:t>日，解放军占领国民党统治中心南京，宣告延续</w:t>
      </w:r>
      <w:r w:rsidRPr="003A19FB">
        <w:rPr>
          <w:rFonts w:ascii="微软雅黑" w:eastAsia="微软雅黑" w:hAnsi="微软雅黑" w:cs="宋体" w:hint="eastAsia"/>
          <w:color w:val="333333"/>
          <w:kern w:val="0"/>
          <w:sz w:val="32"/>
          <w:szCs w:val="32"/>
        </w:rPr>
        <w:t>22</w:t>
      </w:r>
      <w:r w:rsidRPr="003A19FB">
        <w:rPr>
          <w:rFonts w:ascii="楷体_GB2312" w:eastAsia="楷体_GB2312" w:hAnsi="微软雅黑" w:cs="宋体" w:hint="eastAsia"/>
          <w:color w:val="333333"/>
          <w:kern w:val="0"/>
          <w:sz w:val="32"/>
          <w:szCs w:val="32"/>
        </w:rPr>
        <w:t>年的国民党反动统治覆灭。毛泽东得知捷报后，写下《七律·人民解放军占领南京》，用“宜将剩勇追穷寇，不可沽名学霸王”表达了将革命进行到底的决心。</w:t>
      </w:r>
      <w:r w:rsidRPr="003A19FB">
        <w:rPr>
          <w:rFonts w:ascii="楷体_GB2312" w:eastAsia="楷体_GB2312" w:hAnsi="微软雅黑" w:cs="宋体" w:hint="eastAsia"/>
          <w:color w:val="333333"/>
          <w:kern w:val="0"/>
          <w:sz w:val="32"/>
          <w:szCs w:val="32"/>
        </w:rPr>
        <w:lastRenderedPageBreak/>
        <w:t>故</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正确。</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选项，出自《水调歌头·重上井冈山》。</w:t>
      </w:r>
      <w:r w:rsidRPr="003A19FB">
        <w:rPr>
          <w:rFonts w:ascii="微软雅黑" w:eastAsia="微软雅黑" w:hAnsi="微软雅黑" w:cs="宋体" w:hint="eastAsia"/>
          <w:color w:val="333333"/>
          <w:kern w:val="0"/>
          <w:sz w:val="32"/>
          <w:szCs w:val="32"/>
        </w:rPr>
        <w:t>1927</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10</w:t>
      </w:r>
      <w:r w:rsidRPr="003A19FB">
        <w:rPr>
          <w:rFonts w:ascii="楷体_GB2312" w:eastAsia="楷体_GB2312" w:hAnsi="微软雅黑" w:cs="宋体" w:hint="eastAsia"/>
          <w:color w:val="333333"/>
          <w:kern w:val="0"/>
          <w:sz w:val="32"/>
          <w:szCs w:val="32"/>
        </w:rPr>
        <w:t>月，毛泽东率秋收起义部队上井冈山，开辟了工农武装割据的道路。</w:t>
      </w:r>
      <w:r w:rsidRPr="003A19FB">
        <w:rPr>
          <w:rFonts w:ascii="微软雅黑" w:eastAsia="微软雅黑" w:hAnsi="微软雅黑" w:cs="宋体" w:hint="eastAsia"/>
          <w:color w:val="333333"/>
          <w:kern w:val="0"/>
          <w:sz w:val="32"/>
          <w:szCs w:val="32"/>
        </w:rPr>
        <w:t>1965</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月，毛泽东又重上井冈山，写下这首词。故</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错误。</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选项，出自《西江月·</w:t>
      </w:r>
      <w:r w:rsidRPr="003A19FB">
        <w:rPr>
          <w:rFonts w:ascii="微软雅黑" w:eastAsia="微软雅黑" w:hAnsi="微软雅黑" w:cs="宋体" w:hint="eastAsia"/>
          <w:color w:val="333333"/>
          <w:kern w:val="0"/>
          <w:sz w:val="18"/>
          <w:szCs w:val="18"/>
        </w:rPr>
        <w:t> </w:t>
      </w:r>
      <w:r w:rsidRPr="003A19FB">
        <w:rPr>
          <w:rFonts w:ascii="楷体_GB2312" w:eastAsia="楷体_GB2312" w:hAnsi="微软雅黑" w:cs="宋体" w:hint="eastAsia"/>
          <w:color w:val="333333"/>
          <w:kern w:val="0"/>
          <w:sz w:val="32"/>
          <w:szCs w:val="32"/>
        </w:rPr>
        <w:t>秋收起义》。</w:t>
      </w:r>
      <w:r w:rsidRPr="003A19FB">
        <w:rPr>
          <w:rFonts w:ascii="微软雅黑" w:eastAsia="微软雅黑" w:hAnsi="微软雅黑" w:cs="宋体" w:hint="eastAsia"/>
          <w:color w:val="333333"/>
          <w:kern w:val="0"/>
          <w:sz w:val="32"/>
          <w:szCs w:val="32"/>
        </w:rPr>
        <w:t>1927</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9</w:t>
      </w:r>
      <w:r w:rsidRPr="003A19FB">
        <w:rPr>
          <w:rFonts w:ascii="楷体_GB2312" w:eastAsia="楷体_GB2312" w:hAnsi="微软雅黑" w:cs="宋体" w:hint="eastAsia"/>
          <w:color w:val="333333"/>
          <w:kern w:val="0"/>
          <w:sz w:val="32"/>
          <w:szCs w:val="32"/>
        </w:rPr>
        <w:t>月，毛泽东领导发动了秋收起义，在起义后几天写下了这首词。故</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错误。</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选项，出自《七律·长征》。该诗作于</w:t>
      </w:r>
      <w:r w:rsidRPr="003A19FB">
        <w:rPr>
          <w:rFonts w:ascii="微软雅黑" w:eastAsia="微软雅黑" w:hAnsi="微软雅黑" w:cs="宋体" w:hint="eastAsia"/>
          <w:color w:val="333333"/>
          <w:kern w:val="0"/>
          <w:sz w:val="32"/>
          <w:szCs w:val="32"/>
        </w:rPr>
        <w:t>1935</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10</w:t>
      </w:r>
      <w:r w:rsidRPr="003A19FB">
        <w:rPr>
          <w:rFonts w:ascii="楷体_GB2312" w:eastAsia="楷体_GB2312" w:hAnsi="微软雅黑" w:cs="宋体" w:hint="eastAsia"/>
          <w:color w:val="333333"/>
          <w:kern w:val="0"/>
          <w:sz w:val="32"/>
          <w:szCs w:val="32"/>
        </w:rPr>
        <w:t>月红军战士越过岷山后、长征即将胜利结束前不久的途中。长征是</w:t>
      </w:r>
      <w:r w:rsidRPr="003A19FB">
        <w:rPr>
          <w:rFonts w:ascii="微软雅黑" w:eastAsia="微软雅黑" w:hAnsi="微软雅黑" w:cs="宋体" w:hint="eastAsia"/>
          <w:color w:val="333333"/>
          <w:kern w:val="0"/>
          <w:sz w:val="32"/>
          <w:szCs w:val="32"/>
        </w:rPr>
        <w:t>1934</w:t>
      </w:r>
      <w:r w:rsidRPr="003A19FB">
        <w:rPr>
          <w:rFonts w:ascii="楷体_GB2312" w:eastAsia="楷体_GB2312" w:hAnsi="微软雅黑" w:cs="宋体" w:hint="eastAsia"/>
          <w:color w:val="333333"/>
          <w:kern w:val="0"/>
          <w:sz w:val="32"/>
          <w:szCs w:val="32"/>
        </w:rPr>
        <w:t>年第五次反“围剿”失败后开始的。故</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错误。因此，正确答案为</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392E0FF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：白居易有诗云：“绿蚁新醅酒，红泥小火炉。晚来天欲雪，能饮一杯无？”下列与该诗相关的说法正确的是：</w:t>
      </w:r>
    </w:p>
    <w:p w14:paraId="3726553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 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醅酒</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的过程利用了微生物的作用</w:t>
      </w:r>
    </w:p>
    <w:p w14:paraId="549ED49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绿蚁</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是因为酒中添加了可食用调色剂</w:t>
      </w:r>
    </w:p>
    <w:p w14:paraId="6C4EDA5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 C</w:t>
      </w:r>
      <w:r w:rsidRPr="003A19FB">
        <w:rPr>
          <w:rFonts w:ascii="楷体_GB2312" w:eastAsia="楷体_GB2312" w:hAnsi="微软雅黑" w:cs="宋体" w:hint="eastAsia"/>
          <w:color w:val="333333"/>
          <w:kern w:val="0"/>
          <w:sz w:val="32"/>
          <w:szCs w:val="32"/>
        </w:rPr>
        <w:t>．炉火燃烧的过程是内能转化成化学能</w:t>
      </w:r>
    </w:p>
    <w:p w14:paraId="281AC62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．从雪到水的转化过程会释放出热量</w:t>
      </w:r>
    </w:p>
    <w:p w14:paraId="263150F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。醅酒过程要发酵，发酵需要利用到微生物，</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选项表述正确。</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绿蚁</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是酒在发酵后未经过滤，由酒曲、粮食等物质形成的，</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选项表述错误。炉火燃烧过程中化学</w:t>
      </w:r>
      <w:r w:rsidRPr="003A19FB">
        <w:rPr>
          <w:rFonts w:ascii="楷体_GB2312" w:eastAsia="楷体_GB2312" w:hAnsi="微软雅黑" w:cs="宋体" w:hint="eastAsia"/>
          <w:color w:val="333333"/>
          <w:kern w:val="0"/>
          <w:sz w:val="32"/>
          <w:szCs w:val="32"/>
        </w:rPr>
        <w:lastRenderedPageBreak/>
        <w:t>能转化成内能，</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选项表述错误。雪到水的转化过程会吸收热量，</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选项表述错误。因此，正确答案为</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4CFCCCE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：关于常见气体的工业制备方法，下列说法错误的是：</w:t>
      </w:r>
    </w:p>
    <w:p w14:paraId="194EAA3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．木炭和二氧化碳可以作为制备一氧化碳的原料</w:t>
      </w:r>
    </w:p>
    <w:p w14:paraId="79E3EA9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．电解水时制备得到的氢气体积比氧气体积更大</w:t>
      </w:r>
    </w:p>
    <w:p w14:paraId="37AADBE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．通过低温液化的方法可以分离出沼气中的甲烷</w:t>
      </w:r>
    </w:p>
    <w:p w14:paraId="30C2DFF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．高温煅烧石灰石制备二氧化碳属于复分解反应</w:t>
      </w:r>
    </w:p>
    <w:p w14:paraId="3F16152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。碳（木炭）和二氧化碳在高温下发生反应生成一氧化碳，故</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正确。在充满电解液的电解槽中通入直流电，水分子在电极上发生电化学反应生成氧气和氢气，得到的氢气是氧气体积的两倍，故</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正确。低温分离是使气体混合物通过压缩、冷却、膨胀等操作在低温下液化将其各个成分分离的过程，利用了各个成分沸点的不同，故</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正确。复分解反应是由两种化合物互相交换成分的反应，高温煅烧石灰石制备二氧化碳属于分解反应，故</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错误。因此，正确答案为</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4D35D1D5"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（二）言语理解与表达。</w:t>
      </w:r>
      <w:r w:rsidRPr="003A19FB">
        <w:rPr>
          <w:rFonts w:ascii="仿宋_GB2312" w:eastAsia="仿宋_GB2312" w:hAnsi="微软雅黑" w:cs="宋体" w:hint="eastAsia"/>
          <w:color w:val="333333"/>
          <w:kern w:val="0"/>
          <w:sz w:val="32"/>
          <w:szCs w:val="32"/>
        </w:rPr>
        <w:t>主要测查报考者运用语言文字进行思考和交流、迅速准确地理解和把握文字材料内涵的能</w:t>
      </w:r>
      <w:r w:rsidRPr="003A19FB">
        <w:rPr>
          <w:rFonts w:ascii="仿宋_GB2312" w:eastAsia="仿宋_GB2312" w:hAnsi="微软雅黑" w:cs="宋体" w:hint="eastAsia"/>
          <w:color w:val="333333"/>
          <w:kern w:val="0"/>
          <w:sz w:val="32"/>
          <w:szCs w:val="32"/>
        </w:rPr>
        <w:lastRenderedPageBreak/>
        <w:t>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14:paraId="24BFA45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：中国道路的成功开创不仅创造了中国奇迹，而且创造了中国经验。中国经验无疑是中国智慧的结晶，具有鲜明的</w:t>
      </w:r>
      <w:r w:rsidRPr="003A19FB">
        <w:rPr>
          <w:rFonts w:ascii="微软雅黑" w:eastAsia="微软雅黑" w:hAnsi="微软雅黑" w:cs="宋体" w:hint="eastAsia"/>
          <w:color w:val="333333"/>
          <w:kern w:val="0"/>
          <w:sz w:val="32"/>
          <w:szCs w:val="32"/>
        </w:rPr>
        <w:t>______</w:t>
      </w:r>
      <w:r w:rsidRPr="003A19FB">
        <w:rPr>
          <w:rFonts w:ascii="楷体_GB2312" w:eastAsia="楷体_GB2312" w:hAnsi="微软雅黑" w:cs="宋体" w:hint="eastAsia"/>
          <w:color w:val="333333"/>
          <w:kern w:val="0"/>
          <w:sz w:val="32"/>
          <w:szCs w:val="32"/>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sidRPr="003A19FB">
        <w:rPr>
          <w:rFonts w:ascii="微软雅黑" w:eastAsia="微软雅黑" w:hAnsi="微软雅黑" w:cs="宋体" w:hint="eastAsia"/>
          <w:color w:val="333333"/>
          <w:kern w:val="0"/>
          <w:sz w:val="32"/>
          <w:szCs w:val="32"/>
        </w:rPr>
        <w:t>______</w:t>
      </w:r>
      <w:r w:rsidRPr="003A19FB">
        <w:rPr>
          <w:rFonts w:ascii="楷体_GB2312" w:eastAsia="楷体_GB2312" w:hAnsi="微软雅黑" w:cs="宋体" w:hint="eastAsia"/>
          <w:color w:val="333333"/>
          <w:kern w:val="0"/>
          <w:sz w:val="32"/>
          <w:szCs w:val="32"/>
        </w:rPr>
        <w:t>。</w:t>
      </w:r>
    </w:p>
    <w:p w14:paraId="671117F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依次填入画横线部分最恰当的一项是：</w:t>
      </w:r>
    </w:p>
    <w:p w14:paraId="15D04D13" w14:textId="77777777" w:rsidR="003A19FB" w:rsidRPr="003A19FB" w:rsidRDefault="003A19FB" w:rsidP="003A19FB">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．地域性</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国际性</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．实践性</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理论性</w:t>
      </w:r>
    </w:p>
    <w:p w14:paraId="7329812E" w14:textId="77777777" w:rsidR="003A19FB" w:rsidRPr="003A19FB" w:rsidRDefault="003A19FB" w:rsidP="003A19FB">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．先进性</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创新性</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．特殊性</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普遍性</w:t>
      </w:r>
    </w:p>
    <w:p w14:paraId="1A4DB32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w:t>
      </w:r>
      <w:r w:rsidRPr="003A19FB">
        <w:rPr>
          <w:rFonts w:ascii="楷体_GB2312" w:eastAsia="楷体_GB2312" w:hAnsi="微软雅黑" w:cs="宋体" w:hint="eastAsia"/>
          <w:color w:val="333333"/>
          <w:kern w:val="0"/>
          <w:sz w:val="32"/>
          <w:szCs w:val="32"/>
        </w:rPr>
        <w:lastRenderedPageBreak/>
        <w:t>“普遍性”最为合适。此处并没有强调“理论性”，故不选。综上，应填入“特殊性”“普遍性”，正确答案为</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31DEB94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：准确、权威的信息不及时传播，虚假、歪曲的信息就会搞乱人心；积极、正确的思想舆论不发展壮大，消极、错误的言论观点就会肆虐</w:t>
      </w:r>
      <w:r w:rsidRPr="003A19FB">
        <w:rPr>
          <w:rFonts w:ascii="微软雅黑" w:eastAsia="微软雅黑" w:hAnsi="微软雅黑" w:cs="宋体" w:hint="eastAsia"/>
          <w:color w:val="333333"/>
          <w:kern w:val="0"/>
          <w:sz w:val="32"/>
          <w:szCs w:val="32"/>
        </w:rPr>
        <w:t>______</w:t>
      </w:r>
      <w:r w:rsidRPr="003A19FB">
        <w:rPr>
          <w:rFonts w:ascii="楷体_GB2312" w:eastAsia="楷体_GB2312" w:hAnsi="微软雅黑" w:cs="宋体" w:hint="eastAsia"/>
          <w:color w:val="333333"/>
          <w:kern w:val="0"/>
          <w:sz w:val="32"/>
          <w:szCs w:val="32"/>
        </w:rPr>
        <w:t>。这方面，主流媒体守土有责，更要守土尽责，及时提供更多真实客观、观点鲜明的信息内容，牢牢</w:t>
      </w:r>
      <w:r w:rsidRPr="003A19FB">
        <w:rPr>
          <w:rFonts w:ascii="微软雅黑" w:eastAsia="微软雅黑" w:hAnsi="微软雅黑" w:cs="宋体" w:hint="eastAsia"/>
          <w:color w:val="333333"/>
          <w:kern w:val="0"/>
          <w:sz w:val="32"/>
          <w:szCs w:val="32"/>
        </w:rPr>
        <w:t>______</w:t>
      </w:r>
      <w:r w:rsidRPr="003A19FB">
        <w:rPr>
          <w:rFonts w:ascii="楷体_GB2312" w:eastAsia="楷体_GB2312" w:hAnsi="微软雅黑" w:cs="宋体" w:hint="eastAsia"/>
          <w:color w:val="333333"/>
          <w:kern w:val="0"/>
          <w:sz w:val="32"/>
          <w:szCs w:val="32"/>
        </w:rPr>
        <w:t>舆论场主动权和主导权。主流媒体要敢于引导、善于疏导，原则问题要旗帜鲜明、立场坚定，一点都不能</w:t>
      </w:r>
      <w:r w:rsidRPr="003A19FB">
        <w:rPr>
          <w:rFonts w:ascii="微软雅黑" w:eastAsia="微软雅黑" w:hAnsi="微软雅黑" w:cs="宋体" w:hint="eastAsia"/>
          <w:color w:val="333333"/>
          <w:kern w:val="0"/>
          <w:sz w:val="32"/>
          <w:szCs w:val="32"/>
        </w:rPr>
        <w:t>______</w:t>
      </w:r>
      <w:r w:rsidRPr="003A19FB">
        <w:rPr>
          <w:rFonts w:ascii="楷体_GB2312" w:eastAsia="楷体_GB2312" w:hAnsi="微软雅黑" w:cs="宋体" w:hint="eastAsia"/>
          <w:color w:val="333333"/>
          <w:kern w:val="0"/>
          <w:sz w:val="32"/>
          <w:szCs w:val="32"/>
        </w:rPr>
        <w:t>。</w:t>
      </w:r>
    </w:p>
    <w:p w14:paraId="4877D2E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依次填入画横线部分最恰当的一项是：</w:t>
      </w:r>
    </w:p>
    <w:p w14:paraId="37E1F10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．蔓延</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守护</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犹豫</w:t>
      </w:r>
    </w:p>
    <w:p w14:paraId="71E7A97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．扩散</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占据</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退缩</w:t>
      </w:r>
    </w:p>
    <w:p w14:paraId="5F5C84C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．泛滥</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掌握</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含糊</w:t>
      </w:r>
    </w:p>
    <w:p w14:paraId="7B5FBF8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．滋生</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控制</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迟疑</w:t>
      </w:r>
    </w:p>
    <w:p w14:paraId="234499E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这段文字主要说明主流媒体在宣传时应发挥的作用。根据语意，第一空所填动词的主语是“消极、错误的言论观点”，“蔓延”“扩散”“泛滥”合适；“滋生”意为引起，不合适。第二空所填动词的宾语是“舆论场主动权和主导权”，填入“占据”“掌握”“控制”合适，表达</w:t>
      </w:r>
      <w:r w:rsidRPr="003A19FB">
        <w:rPr>
          <w:rFonts w:ascii="楷体_GB2312" w:eastAsia="楷体_GB2312" w:hAnsi="微软雅黑" w:cs="宋体" w:hint="eastAsia"/>
          <w:color w:val="333333"/>
          <w:kern w:val="0"/>
          <w:sz w:val="32"/>
          <w:szCs w:val="32"/>
        </w:rPr>
        <w:lastRenderedPageBreak/>
        <w:t>主动性强；“守护”强调已有主动权，保护其不被夺走，不符语意，不合适。第三空指对待原则问题的态度，与“旗帜鲜明”“立场坚定”相对，“犹豫”“迟疑”“含糊”合适，“退缩”不合适。综上，应填入“泛滥”“掌握”“含糊”。因此，正确答案为</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p>
    <w:p w14:paraId="19D2164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万物各得其和以生，各得其养以成。</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这方面有很多鲜活生动的事例。始建于战国时期的都江堰，距今已有</w:t>
      </w:r>
      <w:r w:rsidRPr="003A19FB">
        <w:rPr>
          <w:rFonts w:ascii="微软雅黑" w:eastAsia="微软雅黑" w:hAnsi="微软雅黑" w:cs="宋体" w:hint="eastAsia"/>
          <w:color w:val="333333"/>
          <w:kern w:val="0"/>
          <w:sz w:val="32"/>
          <w:szCs w:val="32"/>
        </w:rPr>
        <w:t>2000</w:t>
      </w:r>
      <w:r w:rsidRPr="003A19FB">
        <w:rPr>
          <w:rFonts w:ascii="楷体_GB2312" w:eastAsia="楷体_GB2312" w:hAnsi="微软雅黑" w:cs="宋体" w:hint="eastAsia"/>
          <w:color w:val="333333"/>
          <w:kern w:val="0"/>
          <w:sz w:val="32"/>
          <w:szCs w:val="32"/>
        </w:rPr>
        <w:t>多年历史，就是根据岷江的洪涝规律和成都平原悬江的地势特点，</w:t>
      </w:r>
      <w:r w:rsidRPr="003A19FB">
        <w:rPr>
          <w:rFonts w:ascii="微软雅黑" w:eastAsia="微软雅黑" w:hAnsi="微软雅黑" w:cs="宋体" w:hint="eastAsia"/>
          <w:color w:val="333333"/>
          <w:kern w:val="0"/>
          <w:sz w:val="32"/>
          <w:szCs w:val="32"/>
        </w:rPr>
        <w:t>______</w:t>
      </w:r>
      <w:r w:rsidRPr="003A19FB">
        <w:rPr>
          <w:rFonts w:ascii="楷体_GB2312" w:eastAsia="楷体_GB2312" w:hAnsi="微软雅黑" w:cs="宋体" w:hint="eastAsia"/>
          <w:color w:val="333333"/>
          <w:kern w:val="0"/>
          <w:sz w:val="32"/>
          <w:szCs w:val="32"/>
        </w:rPr>
        <w:t>建设的大型生态水利工程，不仅造福当时，而且</w:t>
      </w:r>
      <w:r w:rsidRPr="003A19FB">
        <w:rPr>
          <w:rFonts w:ascii="微软雅黑" w:eastAsia="微软雅黑" w:hAnsi="微软雅黑" w:cs="宋体" w:hint="eastAsia"/>
          <w:color w:val="333333"/>
          <w:kern w:val="0"/>
          <w:sz w:val="32"/>
          <w:szCs w:val="32"/>
        </w:rPr>
        <w:t>______</w:t>
      </w:r>
      <w:r w:rsidRPr="003A19FB">
        <w:rPr>
          <w:rFonts w:ascii="楷体_GB2312" w:eastAsia="楷体_GB2312" w:hAnsi="微软雅黑" w:cs="宋体" w:hint="eastAsia"/>
          <w:color w:val="333333"/>
          <w:kern w:val="0"/>
          <w:sz w:val="32"/>
          <w:szCs w:val="32"/>
        </w:rPr>
        <w:t>。</w:t>
      </w:r>
    </w:p>
    <w:p w14:paraId="2BAE75D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依次填入画横线部分最恰当的一项是：</w:t>
      </w:r>
    </w:p>
    <w:p w14:paraId="5EEAB7B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．物尽其用</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历久弥新</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．因地制宜</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经久不衰</w:t>
      </w:r>
    </w:p>
    <w:p w14:paraId="6D9659F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．顺势而为</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利在千秋</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．因势利导</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泽被后世</w:t>
      </w:r>
    </w:p>
    <w:p w14:paraId="3C074AC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。这段文字以都江堰为例，说明了建设应顺应当地的地形特点并加以利用。第一空，根据前句可知都江堰主要是依据洪涝规律和地势特点建成的，</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因地制宜</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和</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因势利导</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符合语境；</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物尽其用</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指充分发挥各种东西的功用，</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顺势而为</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指顺应时势而行动，不符合语境。第二空，根据前句可知，横线处要表达对后人的影响也很大，</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泽被后世</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和</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利在千秋</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符合语境；</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历久弥新</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指经</w:t>
      </w:r>
      <w:r w:rsidRPr="003A19FB">
        <w:rPr>
          <w:rFonts w:ascii="楷体_GB2312" w:eastAsia="楷体_GB2312" w:hAnsi="微软雅黑" w:cs="宋体" w:hint="eastAsia"/>
          <w:color w:val="333333"/>
          <w:kern w:val="0"/>
          <w:sz w:val="32"/>
          <w:szCs w:val="32"/>
        </w:rPr>
        <w:lastRenderedPageBreak/>
        <w:t>历很长时间反而更加鲜活、更加有活力，</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经久不衰</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指持续很长时间也不衰减，不符合语境。综上，应填入</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因势利导</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泽被后世</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。因此，正确答案为</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7ECD791B"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14:paraId="2BABEA7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文段最后一句话中的“这”指的是：</w:t>
      </w:r>
    </w:p>
    <w:p w14:paraId="7D4E68D6" w14:textId="77777777" w:rsidR="003A19FB" w:rsidRPr="003A19FB" w:rsidRDefault="003A19FB" w:rsidP="003A19FB">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．自然共同体意识的树立</w:t>
      </w:r>
      <w:r w:rsidRPr="003A19FB">
        <w:rPr>
          <w:rFonts w:ascii="微软雅黑" w:eastAsia="微软雅黑" w:hAnsi="微软雅黑" w:cs="宋体" w:hint="eastAsia"/>
          <w:color w:val="333333"/>
          <w:kern w:val="0"/>
          <w:sz w:val="32"/>
          <w:szCs w:val="32"/>
        </w:rPr>
        <w:t>  </w:t>
      </w:r>
    </w:p>
    <w:p w14:paraId="4418CDE2" w14:textId="77777777" w:rsidR="003A19FB" w:rsidRPr="003A19FB" w:rsidRDefault="003A19FB" w:rsidP="003A19FB">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．对自然共同体的义务</w:t>
      </w:r>
    </w:p>
    <w:p w14:paraId="069F1F90" w14:textId="77777777" w:rsidR="003A19FB" w:rsidRPr="003A19FB" w:rsidRDefault="003A19FB" w:rsidP="003A19FB">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．热爱自然的感情</w:t>
      </w:r>
      <w:r w:rsidRPr="003A19FB">
        <w:rPr>
          <w:rFonts w:ascii="微软雅黑" w:eastAsia="微软雅黑" w:hAnsi="微软雅黑" w:cs="宋体" w:hint="eastAsia"/>
          <w:color w:val="333333"/>
          <w:kern w:val="0"/>
          <w:sz w:val="32"/>
          <w:szCs w:val="32"/>
        </w:rPr>
        <w:t>         </w:t>
      </w:r>
    </w:p>
    <w:p w14:paraId="218A7D3A" w14:textId="77777777" w:rsidR="003A19FB" w:rsidRPr="003A19FB" w:rsidRDefault="003A19FB" w:rsidP="003A19FB">
      <w:pPr>
        <w:widowControl/>
        <w:shd w:val="clear" w:color="auto" w:fill="FFFFFF"/>
        <w:spacing w:before="100" w:beforeAutospacing="1" w:after="100" w:afterAutospacing="1" w:line="555" w:lineRule="atLeast"/>
        <w:ind w:left="112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．重建人与自然关系的愿望</w:t>
      </w:r>
    </w:p>
    <w:p w14:paraId="58F2F07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。首句指出环境保护主义“是一种重建人与自然关系的强烈愿望”，次句说明“要实现这一愿望，就必须树立一种自然共同体的意识”，第三句说明“只有树立了这</w:t>
      </w:r>
      <w:r w:rsidRPr="003A19FB">
        <w:rPr>
          <w:rFonts w:ascii="楷体_GB2312" w:eastAsia="楷体_GB2312" w:hAnsi="微软雅黑" w:cs="宋体" w:hint="eastAsia"/>
          <w:color w:val="333333"/>
          <w:kern w:val="0"/>
          <w:sz w:val="32"/>
          <w:szCs w:val="32"/>
        </w:rPr>
        <w:lastRenderedPageBreak/>
        <w:t>样的一种道德意识”的重要意义，最后归结到“这不仅依赖</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，也依赖</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”，即实现这种意识的条件。因此，可知“这”指的是“自然共同体意识的树立”，正确答案为</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7AFFC94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14:paraId="41D90CD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这段文字意在说明：</w:t>
      </w:r>
    </w:p>
    <w:p w14:paraId="3ECE9DE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．我们悠久的历史是各民族共同书写的</w:t>
      </w:r>
    </w:p>
    <w:p w14:paraId="178C5BD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．我们辽阔的疆域是各民族共同开拓的</w:t>
      </w:r>
    </w:p>
    <w:p w14:paraId="7EAB43E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．我们灿烂的文化是各民族共同创造的</w:t>
      </w:r>
    </w:p>
    <w:p w14:paraId="0B58F31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．我们伟大的精神是各民族共同培育的</w:t>
      </w:r>
    </w:p>
    <w:p w14:paraId="6E72DB6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。这段文字从中华民族历史发展的角度，说明我国各民族人民共同书写了中华民族悠久的历史。首句介绍</w:t>
      </w:r>
      <w:r w:rsidRPr="003A19FB">
        <w:rPr>
          <w:rFonts w:ascii="楷体_GB2312" w:eastAsia="楷体_GB2312" w:hAnsi="微软雅黑" w:cs="宋体" w:hint="eastAsia"/>
          <w:color w:val="333333"/>
          <w:kern w:val="0"/>
          <w:sz w:val="32"/>
          <w:szCs w:val="32"/>
        </w:rPr>
        <w:lastRenderedPageBreak/>
        <w:t>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4758BA2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6</w:t>
      </w:r>
      <w:r w:rsidRPr="003A19FB">
        <w:rPr>
          <w:rFonts w:ascii="楷体_GB2312" w:eastAsia="楷体_GB2312" w:hAnsi="微软雅黑" w:cs="宋体" w:hint="eastAsia"/>
          <w:color w:val="333333"/>
          <w:kern w:val="0"/>
          <w:sz w:val="32"/>
          <w:szCs w:val="32"/>
        </w:rPr>
        <w:t>：戴口罩等遮挡条件下的人脸识别其实是一项</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老</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技术，此前研究人员在解决军事刑侦和视频监控问题时就曾长期研究过该技术，并发展出诸多成熟应用。因此，</w:t>
      </w:r>
      <w:r w:rsidRPr="003A19FB">
        <w:rPr>
          <w:rFonts w:ascii="微软雅黑" w:eastAsia="微软雅黑" w:hAnsi="微软雅黑" w:cs="宋体" w:hint="eastAsia"/>
          <w:color w:val="333333"/>
          <w:kern w:val="0"/>
          <w:sz w:val="32"/>
          <w:szCs w:val="32"/>
        </w:rPr>
        <w:t>____________________</w:t>
      </w:r>
      <w:r w:rsidRPr="003A19FB">
        <w:rPr>
          <w:rFonts w:ascii="楷体_GB2312" w:eastAsia="楷体_GB2312" w:hAnsi="微软雅黑" w:cs="宋体" w:hint="eastAsia"/>
          <w:color w:val="333333"/>
          <w:kern w:val="0"/>
          <w:sz w:val="32"/>
          <w:szCs w:val="32"/>
        </w:rPr>
        <w:t>。但是以往的技术基础并没有完全打消人们对戴口罩人脸识别</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先天不足</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的顾虑。相较于以往，口罩遮挡住面部，使得人脸识别系统收集到的面部信息大量减少。不过研究表明，人脸识别的关键信息集中于眉毛和眼睛，只要模型训练得当，戴口罩人脸识别的准确率并不会大幅下降。</w:t>
      </w:r>
    </w:p>
    <w:p w14:paraId="31EAC7E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填入画横线部分最恰当的一项是：</w:t>
      </w:r>
    </w:p>
    <w:p w14:paraId="1702EEC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．提高识别精度才是这一技术的难点所在</w:t>
      </w:r>
    </w:p>
    <w:p w14:paraId="668F6C0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．该技术的稳定性和准确率是有一定基础的</w:t>
      </w:r>
    </w:p>
    <w:p w14:paraId="272F848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．人脸识别技术已经被广泛应用于各个领域</w:t>
      </w:r>
    </w:p>
    <w:p w14:paraId="64FB4BC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lastRenderedPageBreak/>
        <w:t>D</w:t>
      </w:r>
      <w:r w:rsidRPr="003A19FB">
        <w:rPr>
          <w:rFonts w:ascii="楷体_GB2312" w:eastAsia="楷体_GB2312" w:hAnsi="微软雅黑" w:cs="宋体" w:hint="eastAsia"/>
          <w:color w:val="333333"/>
          <w:kern w:val="0"/>
          <w:sz w:val="32"/>
          <w:szCs w:val="32"/>
        </w:rPr>
        <w:t>．人脸识别并不需要对全脸进行整体识别</w:t>
      </w:r>
    </w:p>
    <w:p w14:paraId="17965E3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。这段文字谈的是</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戴口罩人脸识别</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问题。首句说</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戴口罩等遮挡条件下的人脸识别其实是一项老技术，此前</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。横线后面说</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但是以往的技术基础并没有完全打消人们对</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的顾虑</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，并以</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相较于以往</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具体说明原因，最后一句则以</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不过研究表明</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介绍最新研究成果，给出乐观的结论。因此，横线处最适合填入</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该技术的稳定性和准确率是有一定基础的</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7EA85C4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7</w:t>
      </w:r>
      <w:r w:rsidRPr="003A19FB">
        <w:rPr>
          <w:rFonts w:ascii="楷体_GB2312" w:eastAsia="楷体_GB2312" w:hAnsi="微软雅黑" w:cs="宋体" w:hint="eastAsia"/>
          <w:color w:val="333333"/>
          <w:kern w:val="0"/>
          <w:sz w:val="32"/>
          <w:szCs w:val="32"/>
        </w:rPr>
        <w:t>：根据所给材料，回答（</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）题。</w:t>
      </w:r>
    </w:p>
    <w:p w14:paraId="1BE9383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14:paraId="5D1F15D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w:t>
      </w:r>
      <w:r w:rsidRPr="003A19FB">
        <w:rPr>
          <w:rFonts w:ascii="楷体_GB2312" w:eastAsia="楷体_GB2312" w:hAnsi="微软雅黑" w:cs="宋体" w:hint="eastAsia"/>
          <w:color w:val="333333"/>
          <w:kern w:val="0"/>
          <w:sz w:val="32"/>
          <w:szCs w:val="32"/>
        </w:rPr>
        <w:lastRenderedPageBreak/>
        <w:t>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w:t>
      </w:r>
      <w:r w:rsidRPr="003A19FB">
        <w:rPr>
          <w:rFonts w:ascii="微软雅黑" w:eastAsia="微软雅黑" w:hAnsi="微软雅黑" w:cs="宋体" w:hint="eastAsia"/>
          <w:color w:val="333333"/>
          <w:kern w:val="0"/>
          <w:sz w:val="32"/>
          <w:szCs w:val="32"/>
        </w:rPr>
        <w:t>①</w:t>
      </w:r>
    </w:p>
    <w:p w14:paraId="0C967E6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悬钟所城中，保存着</w:t>
      </w:r>
      <w:r w:rsidRPr="003A19FB">
        <w:rPr>
          <w:rFonts w:ascii="微软雅黑" w:eastAsia="微软雅黑" w:hAnsi="微软雅黑" w:cs="宋体" w:hint="eastAsia"/>
          <w:color w:val="333333"/>
          <w:kern w:val="0"/>
          <w:sz w:val="32"/>
          <w:szCs w:val="32"/>
        </w:rPr>
        <w:t>29</w:t>
      </w:r>
      <w:r w:rsidRPr="003A19FB">
        <w:rPr>
          <w:rFonts w:ascii="楷体_GB2312" w:eastAsia="楷体_GB2312" w:hAnsi="微软雅黑" w:cs="宋体" w:hint="eastAsia"/>
          <w:color w:val="333333"/>
          <w:kern w:val="0"/>
          <w:sz w:val="32"/>
          <w:szCs w:val="32"/>
        </w:rPr>
        <w:t>通明代海防卫所将领巡视当地海防时留下的摩崖石刻，是目前我国数量最多、保存最为完整的明代海防官兵石刻文书，集中展现了明代东南沿海卫所的社会网络与文化活动。</w:t>
      </w:r>
      <w:r w:rsidRPr="003A19FB">
        <w:rPr>
          <w:rFonts w:ascii="微软雅黑" w:eastAsia="微软雅黑" w:hAnsi="微软雅黑" w:cs="宋体" w:hint="eastAsia"/>
          <w:color w:val="333333"/>
          <w:kern w:val="0"/>
          <w:sz w:val="32"/>
          <w:szCs w:val="32"/>
        </w:rPr>
        <w:t>②</w:t>
      </w:r>
    </w:p>
    <w:p w14:paraId="047B007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还有相当一部分海洋石刻遗产属于海洋生产与管理类别。典型者如泉州九日山上保存的</w:t>
      </w:r>
      <w:r w:rsidRPr="003A19FB">
        <w:rPr>
          <w:rFonts w:ascii="微软雅黑" w:eastAsia="微软雅黑" w:hAnsi="微软雅黑" w:cs="宋体" w:hint="eastAsia"/>
          <w:color w:val="333333"/>
          <w:kern w:val="0"/>
          <w:sz w:val="32"/>
          <w:szCs w:val="32"/>
        </w:rPr>
        <w:t>10</w:t>
      </w:r>
      <w:r w:rsidRPr="003A19FB">
        <w:rPr>
          <w:rFonts w:ascii="楷体_GB2312" w:eastAsia="楷体_GB2312" w:hAnsi="微软雅黑" w:cs="宋体" w:hint="eastAsia"/>
          <w:color w:val="333333"/>
          <w:kern w:val="0"/>
          <w:sz w:val="32"/>
          <w:szCs w:val="32"/>
        </w:rPr>
        <w:t>通宋代海交祈风石刻，是记载宋代泉州当地的海洋航行仪式习俗的珍贵石刻资料，也是历史上海上丝绸之路的重要记录。同样，在福建沿海不少港湾地区，还保留有大量的明清时期的</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坞界碑</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，这些</w:t>
      </w:r>
      <w:r w:rsidRPr="003A19FB">
        <w:rPr>
          <w:rFonts w:ascii="楷体_GB2312" w:eastAsia="楷体_GB2312" w:hAnsi="微软雅黑" w:cs="宋体" w:hint="eastAsia"/>
          <w:color w:val="333333"/>
          <w:kern w:val="0"/>
          <w:sz w:val="32"/>
          <w:szCs w:val="32"/>
        </w:rPr>
        <w:lastRenderedPageBreak/>
        <w:t>也是反映当地海洋生产的石刻记录。此外，一部分海洋石刻还涉及历代官府对于海洋的管理或当地社区对于海洋活动的习俗规定。</w:t>
      </w:r>
      <w:r w:rsidRPr="003A19FB">
        <w:rPr>
          <w:rFonts w:ascii="微软雅黑" w:eastAsia="微软雅黑" w:hAnsi="微软雅黑" w:cs="宋体" w:hint="eastAsia"/>
          <w:color w:val="333333"/>
          <w:kern w:val="0"/>
          <w:sz w:val="32"/>
          <w:szCs w:val="32"/>
        </w:rPr>
        <w:t>③</w:t>
      </w:r>
    </w:p>
    <w:p w14:paraId="7DCDBC0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域普遍存在的天后宫。按照地方习俗，新修或重修当地重要公共文化空间的行为，往往伴随着竖碑纪事的仪式活动，这些涉海宗教碑铭，因为保存了历代修建涉海宫庙的记录以及捐助者姓名、捐助银两数目等内容，为我们今天深度了解历史上海洋社区的社会文化变迁，提供了重要的石刻文书资料。</w:t>
      </w:r>
      <w:r w:rsidRPr="003A19FB">
        <w:rPr>
          <w:rFonts w:ascii="微软雅黑" w:eastAsia="微软雅黑" w:hAnsi="微软雅黑" w:cs="宋体" w:hint="eastAsia"/>
          <w:color w:val="333333"/>
          <w:kern w:val="0"/>
          <w:sz w:val="32"/>
          <w:szCs w:val="32"/>
        </w:rPr>
        <w:t>④</w:t>
      </w:r>
    </w:p>
    <w:p w14:paraId="58B360D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w:t>
      </w:r>
      <w:r w:rsidRPr="003A19FB">
        <w:rPr>
          <w:rFonts w:ascii="楷体_GB2312" w:eastAsia="楷体_GB2312" w:hAnsi="微软雅黑" w:cs="宋体" w:hint="eastAsia"/>
          <w:color w:val="333333"/>
          <w:kern w:val="0"/>
          <w:sz w:val="32"/>
          <w:szCs w:val="32"/>
        </w:rPr>
        <w:lastRenderedPageBreak/>
        <w:t>就是外露性。除了一部分保存在宫庙或其他公共建筑内的海洋石刻，相当多的海洋石刻都是处在海岸带的公共区域。比如传统时代</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勒石示禁</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的习俗，使得绝大多数的涉海示禁碑，都要竖立在渡口、海港、渔村等醒目的公共空间，从而暴露在自然界中，容易遭受台风、海啸、海水酸化侵蚀等海洋灾害带来的严重损害。</w:t>
      </w:r>
    </w:p>
    <w:p w14:paraId="7496DB2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）下面这段文字，最适合填入文中的哪个位置？</w:t>
      </w:r>
    </w:p>
    <w:p w14:paraId="5A62C9E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如我们在福建诏安地区调查时，发现了一通乾隆年间反映地方官府对于船户</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烙号刊名</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的示禁碑。在这块碑文中，清楚地载明严禁当地澳甲等海洋管理人员利用印烙船号的机会苛索船户费用的内容，展现了清代前期地方官员对于海洋的治理。</w:t>
      </w:r>
    </w:p>
    <w:p w14:paraId="1AE86F4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①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②</w:t>
      </w:r>
    </w:p>
    <w:p w14:paraId="6201876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③                                      D</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④</w:t>
      </w:r>
    </w:p>
    <w:p w14:paraId="6FB546D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。这段文字主要是说“展现了清代前期地方官员对于海洋的治理”。原文中与之最密切相关的，是“海洋生产与管理类别……”一段，由此可知，应该放在③处。因此，正确答案为</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p>
    <w:p w14:paraId="186CD6E5"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lastRenderedPageBreak/>
        <w:t>（</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）第二段中提到东南沿海一带贝丘遗址中的太阳崇拜石刻，意在证明：</w:t>
      </w:r>
    </w:p>
    <w:p w14:paraId="227CC8A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．海洋石刻艺术历史悠久</w:t>
      </w:r>
    </w:p>
    <w:p w14:paraId="282AE17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．当地文化起源于原始崇拜</w:t>
      </w:r>
    </w:p>
    <w:p w14:paraId="1017BB6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．沿海地区很早就频繁利用海洋</w:t>
      </w:r>
    </w:p>
    <w:p w14:paraId="797CB12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．海洋石刻最初以太阳崇拜为内容</w:t>
      </w:r>
    </w:p>
    <w:p w14:paraId="3FA556D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。根据文段“早在新石器时期，滨海地带生活的早期人类就已经开始利用石头作为表述工具”，说明贝丘遗址中的太阳崇拜石刻这一例证是为了证明“海洋石刻艺术历史悠久”。因此，正确答案为</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4500A9E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）这篇文章中提到的海洋石刻遗产与关键词对应错误的是：</w:t>
      </w:r>
    </w:p>
    <w:p w14:paraId="4582E72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．悬钟所城</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卫所、摩崖石刻</w:t>
      </w:r>
    </w:p>
    <w:p w14:paraId="49EB5E2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．泉州九日山</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祈风仪式、唐代</w:t>
      </w:r>
    </w:p>
    <w:p w14:paraId="658899F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．天后宫</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海神、海洋宗教文化</w:t>
      </w:r>
    </w:p>
    <w:p w14:paraId="4488A79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．坞界碑</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海洋生产、明清时期</w:t>
      </w:r>
    </w:p>
    <w:p w14:paraId="4991875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lastRenderedPageBreak/>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。“泉州九日山”出现在以下语句中：“典型者如泉州九日山上保存的</w:t>
      </w:r>
      <w:r w:rsidRPr="003A19FB">
        <w:rPr>
          <w:rFonts w:ascii="微软雅黑" w:eastAsia="微软雅黑" w:hAnsi="微软雅黑" w:cs="宋体" w:hint="eastAsia"/>
          <w:color w:val="333333"/>
          <w:kern w:val="0"/>
          <w:sz w:val="32"/>
          <w:szCs w:val="32"/>
        </w:rPr>
        <w:t>10</w:t>
      </w:r>
      <w:r w:rsidRPr="003A19FB">
        <w:rPr>
          <w:rFonts w:ascii="楷体_GB2312" w:eastAsia="楷体_GB2312" w:hAnsi="微软雅黑" w:cs="宋体" w:hint="eastAsia"/>
          <w:color w:val="333333"/>
          <w:kern w:val="0"/>
          <w:sz w:val="32"/>
          <w:szCs w:val="32"/>
        </w:rPr>
        <w:t>通宋代海交祈风石刻，是记载宋代泉州当地的海洋航行仪式习俗的珍贵石刻资料，也是历史上海上丝绸之路的重要记录。”可知“泉州九日山——祈风仪式、唐代”的对应中，“唐代”是错误的，应该是宋代。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6F03209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）这篇文章接下来最可能谈论：</w:t>
      </w:r>
    </w:p>
    <w:p w14:paraId="66068CA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．古代海洋石刻的常用工具</w:t>
      </w:r>
    </w:p>
    <w:p w14:paraId="244F0BA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．海洋石刻作为文化记忆的事例</w:t>
      </w:r>
    </w:p>
    <w:p w14:paraId="077E105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．海洋石刻遗产的保护举措</w:t>
      </w:r>
    </w:p>
    <w:p w14:paraId="0A45557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．与其他国家海洋石刻遗产的比较</w:t>
      </w:r>
    </w:p>
    <w:p w14:paraId="20ED504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文章最后说“近年来，由于城乡建设、工业发展与海域污染、全球气候变化等因素，包括海洋石刻遗产在内的海岸带文化遗产面临着十分严峻的保护处境。……从而暴露在自然界中，容易遭受台风、海啸、海水酸化侵蚀等海洋灾害带来的严重损害”，可以推知，下文应该是讲“海洋石刻遗产的保护举措”。因此，正确答案为</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p>
    <w:p w14:paraId="4B2CE87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）最适合做这篇文章标题的是：</w:t>
      </w:r>
    </w:p>
    <w:p w14:paraId="14DFEE9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lastRenderedPageBreak/>
        <w:t>A</w:t>
      </w:r>
      <w:r w:rsidRPr="003A19FB">
        <w:rPr>
          <w:rFonts w:ascii="楷体_GB2312" w:eastAsia="楷体_GB2312" w:hAnsi="微软雅黑" w:cs="宋体" w:hint="eastAsia"/>
          <w:color w:val="333333"/>
          <w:kern w:val="0"/>
          <w:sz w:val="32"/>
          <w:szCs w:val="32"/>
        </w:rPr>
        <w:t>．古代海洋石刻：海洋文明兴衰的见证</w:t>
      </w:r>
    </w:p>
    <w:p w14:paraId="6DCFB40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．海洋石刻遗产：海洋文明的记忆镌刻</w:t>
      </w:r>
    </w:p>
    <w:p w14:paraId="543B10D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．沿海地区的记忆坐标：海洋石刻文书</w:t>
      </w:r>
    </w:p>
    <w:p w14:paraId="7902ECB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．复原海洋记忆的钥匙：海洋石刻发掘</w:t>
      </w:r>
    </w:p>
    <w:p w14:paraId="003F063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。“海洋石刻遗产”是全文核心，通过海洋石刻遗产探索海洋文明，因此，最适合做这篇文章标题的是“海洋石刻遗产：海洋文明的记忆镌刻”。因此，正确答案为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0CDD28C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（三）数量关系。</w:t>
      </w:r>
      <w:r w:rsidRPr="003A19FB">
        <w:rPr>
          <w:rFonts w:ascii="仿宋_GB2312" w:eastAsia="仿宋_GB2312" w:hAnsi="微软雅黑" w:cs="宋体" w:hint="eastAsia"/>
          <w:color w:val="333333"/>
          <w:kern w:val="0"/>
          <w:sz w:val="32"/>
          <w:szCs w:val="32"/>
        </w:rPr>
        <w:t>主要测查报考者理解、把握事物间量化关系和解决数量关系问题的能力，主要涉及数据关系的分析、推理、判断、运算等。常用题型有数字推理和数学运算两种。</w:t>
      </w:r>
    </w:p>
    <w:p w14:paraId="1B72C6E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数字推理：</w:t>
      </w:r>
      <w:r w:rsidRPr="003A19FB">
        <w:rPr>
          <w:rFonts w:ascii="仿宋_GB2312" w:eastAsia="仿宋_GB2312" w:hAnsi="微软雅黑" w:cs="宋体" w:hint="eastAsia"/>
          <w:color w:val="333333"/>
          <w:kern w:val="0"/>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14:paraId="1D45FF0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1   2   4   8   16  </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w:t>
      </w:r>
    </w:p>
    <w:p w14:paraId="2156709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16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24          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32          D</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36</w:t>
      </w:r>
    </w:p>
    <w:p w14:paraId="0C29873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lastRenderedPageBreak/>
        <w:t>（答案：</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。原数列是一个等比数列，后一项是前一项的</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倍，故正确答案为</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p>
    <w:p w14:paraId="30360A7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数学运算：</w:t>
      </w:r>
      <w:r w:rsidRPr="003A19FB">
        <w:rPr>
          <w:rFonts w:ascii="仿宋_GB2312" w:eastAsia="仿宋_GB2312" w:hAnsi="微软雅黑" w:cs="宋体" w:hint="eastAsia"/>
          <w:color w:val="333333"/>
          <w:kern w:val="0"/>
          <w:sz w:val="32"/>
          <w:szCs w:val="32"/>
        </w:rPr>
        <w:t>每道题给出一个算术式子或者表达数量关系的一段文字，要求报考者熟练运用加、减、乘、除等基本运算法则，并利用其他基本数学知识计算或推出结果。</w:t>
      </w:r>
    </w:p>
    <w:p w14:paraId="243C242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：某单位的会议室有</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排共</w:t>
      </w:r>
      <w:r w:rsidRPr="003A19FB">
        <w:rPr>
          <w:rFonts w:ascii="微软雅黑" w:eastAsia="微软雅黑" w:hAnsi="微软雅黑" w:cs="宋体" w:hint="eastAsia"/>
          <w:color w:val="333333"/>
          <w:kern w:val="0"/>
          <w:sz w:val="32"/>
          <w:szCs w:val="32"/>
        </w:rPr>
        <w:t>40</w:t>
      </w:r>
      <w:r w:rsidRPr="003A19FB">
        <w:rPr>
          <w:rFonts w:ascii="楷体_GB2312" w:eastAsia="楷体_GB2312" w:hAnsi="微软雅黑" w:cs="宋体" w:hint="eastAsia"/>
          <w:color w:val="333333"/>
          <w:kern w:val="0"/>
          <w:sz w:val="32"/>
          <w:szCs w:val="32"/>
        </w:rPr>
        <w:t>个座位，每排座位数相同。小张和小李随机入座，则他们坐在同一排的概率：</w:t>
      </w:r>
    </w:p>
    <w:p w14:paraId="3243AEB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．不高于</w:t>
      </w:r>
      <w:r w:rsidRPr="003A19FB">
        <w:rPr>
          <w:rFonts w:ascii="微软雅黑" w:eastAsia="微软雅黑" w:hAnsi="微软雅黑" w:cs="宋体" w:hint="eastAsia"/>
          <w:color w:val="333333"/>
          <w:kern w:val="0"/>
          <w:sz w:val="32"/>
          <w:szCs w:val="32"/>
        </w:rPr>
        <w:t>15%                      B</w:t>
      </w:r>
      <w:r w:rsidRPr="003A19FB">
        <w:rPr>
          <w:rFonts w:ascii="楷体_GB2312" w:eastAsia="楷体_GB2312" w:hAnsi="微软雅黑" w:cs="宋体" w:hint="eastAsia"/>
          <w:color w:val="333333"/>
          <w:kern w:val="0"/>
          <w:sz w:val="32"/>
          <w:szCs w:val="32"/>
        </w:rPr>
        <w:t>．高于</w:t>
      </w:r>
      <w:r w:rsidRPr="003A19FB">
        <w:rPr>
          <w:rFonts w:ascii="微软雅黑" w:eastAsia="微软雅黑" w:hAnsi="微软雅黑" w:cs="宋体" w:hint="eastAsia"/>
          <w:color w:val="333333"/>
          <w:kern w:val="0"/>
          <w:sz w:val="32"/>
          <w:szCs w:val="32"/>
        </w:rPr>
        <w:t>15%</w:t>
      </w:r>
      <w:r w:rsidRPr="003A19FB">
        <w:rPr>
          <w:rFonts w:ascii="楷体_GB2312" w:eastAsia="楷体_GB2312" w:hAnsi="微软雅黑" w:cs="宋体" w:hint="eastAsia"/>
          <w:color w:val="333333"/>
          <w:kern w:val="0"/>
          <w:sz w:val="32"/>
          <w:szCs w:val="32"/>
        </w:rPr>
        <w:t>但低于</w:t>
      </w:r>
      <w:r w:rsidRPr="003A19FB">
        <w:rPr>
          <w:rFonts w:ascii="微软雅黑" w:eastAsia="微软雅黑" w:hAnsi="微软雅黑" w:cs="宋体" w:hint="eastAsia"/>
          <w:color w:val="333333"/>
          <w:kern w:val="0"/>
          <w:sz w:val="32"/>
          <w:szCs w:val="32"/>
        </w:rPr>
        <w:t>20%</w:t>
      </w:r>
    </w:p>
    <w:p w14:paraId="6993848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．正好为</w:t>
      </w:r>
      <w:r w:rsidRPr="003A19FB">
        <w:rPr>
          <w:rFonts w:ascii="微软雅黑" w:eastAsia="微软雅黑" w:hAnsi="微软雅黑" w:cs="宋体" w:hint="eastAsia"/>
          <w:color w:val="333333"/>
          <w:kern w:val="0"/>
          <w:sz w:val="32"/>
          <w:szCs w:val="32"/>
        </w:rPr>
        <w:t>20%                      D</w:t>
      </w:r>
      <w:r w:rsidRPr="003A19FB">
        <w:rPr>
          <w:rFonts w:ascii="楷体_GB2312" w:eastAsia="楷体_GB2312" w:hAnsi="微软雅黑" w:cs="宋体" w:hint="eastAsia"/>
          <w:color w:val="333333"/>
          <w:kern w:val="0"/>
          <w:sz w:val="32"/>
          <w:szCs w:val="32"/>
        </w:rPr>
        <w:t>．高于</w:t>
      </w:r>
      <w:r w:rsidRPr="003A19FB">
        <w:rPr>
          <w:rFonts w:ascii="微软雅黑" w:eastAsia="微软雅黑" w:hAnsi="微软雅黑" w:cs="宋体" w:hint="eastAsia"/>
          <w:color w:val="333333"/>
          <w:kern w:val="0"/>
          <w:sz w:val="32"/>
          <w:szCs w:val="32"/>
        </w:rPr>
        <w:t>20%</w:t>
      </w:r>
    </w:p>
    <w:p w14:paraId="5B510F6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。根据题意可知，小张随机选一个位置就坐，那么小李可以选择的位置为</w:t>
      </w:r>
      <w:r w:rsidRPr="003A19FB">
        <w:rPr>
          <w:rFonts w:ascii="微软雅黑" w:eastAsia="微软雅黑" w:hAnsi="微软雅黑" w:cs="宋体" w:hint="eastAsia"/>
          <w:color w:val="333333"/>
          <w:kern w:val="0"/>
          <w:sz w:val="32"/>
          <w:szCs w:val="32"/>
        </w:rPr>
        <w:t>39</w:t>
      </w:r>
      <w:r w:rsidRPr="003A19FB">
        <w:rPr>
          <w:rFonts w:ascii="楷体_GB2312" w:eastAsia="楷体_GB2312" w:hAnsi="微软雅黑" w:cs="宋体" w:hint="eastAsia"/>
          <w:color w:val="333333"/>
          <w:kern w:val="0"/>
          <w:sz w:val="32"/>
          <w:szCs w:val="32"/>
        </w:rPr>
        <w:t>个，因此总情况数</w:t>
      </w:r>
      <w:r w:rsidRPr="003A19FB">
        <w:rPr>
          <w:rFonts w:ascii="微软雅黑" w:eastAsia="微软雅黑" w:hAnsi="微软雅黑" w:cs="宋体" w:hint="eastAsia"/>
          <w:color w:val="333333"/>
          <w:kern w:val="0"/>
          <w:sz w:val="32"/>
          <w:szCs w:val="32"/>
        </w:rPr>
        <w:t>=40</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39</w:t>
      </w:r>
      <w:r w:rsidRPr="003A19FB">
        <w:rPr>
          <w:rFonts w:ascii="楷体_GB2312" w:eastAsia="楷体_GB2312" w:hAnsi="微软雅黑" w:cs="宋体" w:hint="eastAsia"/>
          <w:color w:val="333333"/>
          <w:kern w:val="0"/>
          <w:sz w:val="32"/>
          <w:szCs w:val="32"/>
        </w:rPr>
        <w:t>。要让他们恰好坐在同一排，应先从</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排中选一排，再从这一排中选</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个座位，符合条件的情况数</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8</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7</w:t>
      </w:r>
      <w:r w:rsidRPr="003A19FB">
        <w:rPr>
          <w:rFonts w:ascii="楷体_GB2312" w:eastAsia="楷体_GB2312" w:hAnsi="微软雅黑" w:cs="宋体" w:hint="eastAsia"/>
          <w:color w:val="333333"/>
          <w:kern w:val="0"/>
          <w:sz w:val="32"/>
          <w:szCs w:val="32"/>
        </w:rPr>
        <w:t>，概率约为</w:t>
      </w:r>
      <w:r w:rsidRPr="003A19FB">
        <w:rPr>
          <w:rFonts w:ascii="微软雅黑" w:eastAsia="微软雅黑" w:hAnsi="微软雅黑" w:cs="宋体" w:hint="eastAsia"/>
          <w:color w:val="333333"/>
          <w:kern w:val="0"/>
          <w:sz w:val="32"/>
          <w:szCs w:val="32"/>
        </w:rPr>
        <w:t>7/39=17.9%</w:t>
      </w:r>
      <w:r w:rsidRPr="003A19FB">
        <w:rPr>
          <w:rFonts w:ascii="楷体_GB2312" w:eastAsia="楷体_GB2312" w:hAnsi="微软雅黑" w:cs="宋体" w:hint="eastAsia"/>
          <w:color w:val="333333"/>
          <w:kern w:val="0"/>
          <w:sz w:val="32"/>
          <w:szCs w:val="32"/>
        </w:rPr>
        <w:t>。因此，正确答案为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4FC862B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：甲、乙、丙、丁、戊</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名职工参加党史知识测验，每人得分均不相同。甲和乙的平均分比丙多</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分，丁和戊的平均分比丁多</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分，甲、乙的平均分比丙、丁、戊的平均分多</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分。问丙、丁、戊三人得分的排序为：</w:t>
      </w:r>
    </w:p>
    <w:p w14:paraId="557FFC3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lastRenderedPageBreak/>
        <w:t>A</w:t>
      </w:r>
      <w:r w:rsidRPr="003A19FB">
        <w:rPr>
          <w:rFonts w:ascii="楷体_GB2312" w:eastAsia="楷体_GB2312" w:hAnsi="微软雅黑" w:cs="宋体" w:hint="eastAsia"/>
          <w:color w:val="333333"/>
          <w:kern w:val="0"/>
          <w:sz w:val="32"/>
          <w:szCs w:val="32"/>
        </w:rPr>
        <w:t>．丙</w:t>
      </w:r>
      <w:r w:rsidRPr="003A19FB">
        <w:rPr>
          <w:rFonts w:ascii="微软雅黑" w:eastAsia="微软雅黑" w:hAnsi="微软雅黑" w:cs="宋体" w:hint="eastAsia"/>
          <w:color w:val="333333"/>
          <w:kern w:val="0"/>
          <w:sz w:val="32"/>
          <w:szCs w:val="32"/>
        </w:rPr>
        <w:t>&gt;</w:t>
      </w:r>
      <w:r w:rsidRPr="003A19FB">
        <w:rPr>
          <w:rFonts w:ascii="楷体_GB2312" w:eastAsia="楷体_GB2312" w:hAnsi="微软雅黑" w:cs="宋体" w:hint="eastAsia"/>
          <w:color w:val="333333"/>
          <w:kern w:val="0"/>
          <w:sz w:val="32"/>
          <w:szCs w:val="32"/>
        </w:rPr>
        <w:t>丁</w:t>
      </w:r>
      <w:r w:rsidRPr="003A19FB">
        <w:rPr>
          <w:rFonts w:ascii="微软雅黑" w:eastAsia="微软雅黑" w:hAnsi="微软雅黑" w:cs="宋体" w:hint="eastAsia"/>
          <w:color w:val="333333"/>
          <w:kern w:val="0"/>
          <w:sz w:val="32"/>
          <w:szCs w:val="32"/>
        </w:rPr>
        <w:t>&gt;</w:t>
      </w:r>
      <w:r w:rsidRPr="003A19FB">
        <w:rPr>
          <w:rFonts w:ascii="楷体_GB2312" w:eastAsia="楷体_GB2312" w:hAnsi="微软雅黑" w:cs="宋体" w:hint="eastAsia"/>
          <w:color w:val="333333"/>
          <w:kern w:val="0"/>
          <w:sz w:val="32"/>
          <w:szCs w:val="32"/>
        </w:rPr>
        <w:t>戊</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．丙</w:t>
      </w:r>
      <w:r w:rsidRPr="003A19FB">
        <w:rPr>
          <w:rFonts w:ascii="微软雅黑" w:eastAsia="微软雅黑" w:hAnsi="微软雅黑" w:cs="宋体" w:hint="eastAsia"/>
          <w:color w:val="333333"/>
          <w:kern w:val="0"/>
          <w:sz w:val="32"/>
          <w:szCs w:val="32"/>
        </w:rPr>
        <w:t>&gt;</w:t>
      </w:r>
      <w:r w:rsidRPr="003A19FB">
        <w:rPr>
          <w:rFonts w:ascii="楷体_GB2312" w:eastAsia="楷体_GB2312" w:hAnsi="微软雅黑" w:cs="宋体" w:hint="eastAsia"/>
          <w:color w:val="333333"/>
          <w:kern w:val="0"/>
          <w:sz w:val="32"/>
          <w:szCs w:val="32"/>
        </w:rPr>
        <w:t>戊</w:t>
      </w:r>
      <w:r w:rsidRPr="003A19FB">
        <w:rPr>
          <w:rFonts w:ascii="微软雅黑" w:eastAsia="微软雅黑" w:hAnsi="微软雅黑" w:cs="宋体" w:hint="eastAsia"/>
          <w:color w:val="333333"/>
          <w:kern w:val="0"/>
          <w:sz w:val="32"/>
          <w:szCs w:val="32"/>
        </w:rPr>
        <w:t>&gt;</w:t>
      </w:r>
      <w:r w:rsidRPr="003A19FB">
        <w:rPr>
          <w:rFonts w:ascii="楷体_GB2312" w:eastAsia="楷体_GB2312" w:hAnsi="微软雅黑" w:cs="宋体" w:hint="eastAsia"/>
          <w:color w:val="333333"/>
          <w:kern w:val="0"/>
          <w:sz w:val="32"/>
          <w:szCs w:val="32"/>
        </w:rPr>
        <w:t>丁</w:t>
      </w:r>
    </w:p>
    <w:p w14:paraId="29FACB5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．丁</w:t>
      </w:r>
      <w:r w:rsidRPr="003A19FB">
        <w:rPr>
          <w:rFonts w:ascii="微软雅黑" w:eastAsia="微软雅黑" w:hAnsi="微软雅黑" w:cs="宋体" w:hint="eastAsia"/>
          <w:color w:val="333333"/>
          <w:kern w:val="0"/>
          <w:sz w:val="32"/>
          <w:szCs w:val="32"/>
        </w:rPr>
        <w:t>&gt;</w:t>
      </w:r>
      <w:r w:rsidRPr="003A19FB">
        <w:rPr>
          <w:rFonts w:ascii="楷体_GB2312" w:eastAsia="楷体_GB2312" w:hAnsi="微软雅黑" w:cs="宋体" w:hint="eastAsia"/>
          <w:color w:val="333333"/>
          <w:kern w:val="0"/>
          <w:sz w:val="32"/>
          <w:szCs w:val="32"/>
        </w:rPr>
        <w:t>丙</w:t>
      </w:r>
      <w:r w:rsidRPr="003A19FB">
        <w:rPr>
          <w:rFonts w:ascii="微软雅黑" w:eastAsia="微软雅黑" w:hAnsi="微软雅黑" w:cs="宋体" w:hint="eastAsia"/>
          <w:color w:val="333333"/>
          <w:kern w:val="0"/>
          <w:sz w:val="32"/>
          <w:szCs w:val="32"/>
        </w:rPr>
        <w:t>&gt;</w:t>
      </w:r>
      <w:r w:rsidRPr="003A19FB">
        <w:rPr>
          <w:rFonts w:ascii="楷体_GB2312" w:eastAsia="楷体_GB2312" w:hAnsi="微软雅黑" w:cs="宋体" w:hint="eastAsia"/>
          <w:color w:val="333333"/>
          <w:kern w:val="0"/>
          <w:sz w:val="32"/>
          <w:szCs w:val="32"/>
        </w:rPr>
        <w:t>戊</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．戊</w:t>
      </w:r>
      <w:r w:rsidRPr="003A19FB">
        <w:rPr>
          <w:rFonts w:ascii="微软雅黑" w:eastAsia="微软雅黑" w:hAnsi="微软雅黑" w:cs="宋体" w:hint="eastAsia"/>
          <w:color w:val="333333"/>
          <w:kern w:val="0"/>
          <w:sz w:val="32"/>
          <w:szCs w:val="32"/>
        </w:rPr>
        <w:t>&gt;</w:t>
      </w:r>
      <w:r w:rsidRPr="003A19FB">
        <w:rPr>
          <w:rFonts w:ascii="楷体_GB2312" w:eastAsia="楷体_GB2312" w:hAnsi="微软雅黑" w:cs="宋体" w:hint="eastAsia"/>
          <w:color w:val="333333"/>
          <w:kern w:val="0"/>
          <w:sz w:val="32"/>
          <w:szCs w:val="32"/>
        </w:rPr>
        <w:t>丙</w:t>
      </w:r>
      <w:r w:rsidRPr="003A19FB">
        <w:rPr>
          <w:rFonts w:ascii="微软雅黑" w:eastAsia="微软雅黑" w:hAnsi="微软雅黑" w:cs="宋体" w:hint="eastAsia"/>
          <w:color w:val="333333"/>
          <w:kern w:val="0"/>
          <w:sz w:val="32"/>
          <w:szCs w:val="32"/>
        </w:rPr>
        <w:t>&gt;</w:t>
      </w:r>
      <w:r w:rsidRPr="003A19FB">
        <w:rPr>
          <w:rFonts w:ascii="楷体_GB2312" w:eastAsia="楷体_GB2312" w:hAnsi="微软雅黑" w:cs="宋体" w:hint="eastAsia"/>
          <w:color w:val="333333"/>
          <w:kern w:val="0"/>
          <w:sz w:val="32"/>
          <w:szCs w:val="32"/>
        </w:rPr>
        <w:t>丁</w:t>
      </w:r>
    </w:p>
    <w:p w14:paraId="1558169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。假设丙得分为</w:t>
      </w:r>
      <w:r w:rsidRPr="003A19FB">
        <w:rPr>
          <w:rFonts w:ascii="微软雅黑" w:eastAsia="微软雅黑" w:hAnsi="微软雅黑" w:cs="宋体" w:hint="eastAsia"/>
          <w:color w:val="333333"/>
          <w:kern w:val="0"/>
          <w:sz w:val="32"/>
          <w:szCs w:val="32"/>
        </w:rPr>
        <w:t>x</w:t>
      </w:r>
      <w:r w:rsidRPr="003A19FB">
        <w:rPr>
          <w:rFonts w:ascii="楷体_GB2312" w:eastAsia="楷体_GB2312" w:hAnsi="微软雅黑" w:cs="宋体" w:hint="eastAsia"/>
          <w:color w:val="333333"/>
          <w:kern w:val="0"/>
          <w:sz w:val="32"/>
          <w:szCs w:val="32"/>
        </w:rPr>
        <w:t>，则甲</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乙</w:t>
      </w:r>
      <w:r w:rsidRPr="003A19FB">
        <w:rPr>
          <w:rFonts w:ascii="微软雅黑" w:eastAsia="微软雅黑" w:hAnsi="微软雅黑" w:cs="宋体" w:hint="eastAsia"/>
          <w:color w:val="333333"/>
          <w:kern w:val="0"/>
          <w:sz w:val="32"/>
          <w:szCs w:val="32"/>
        </w:rPr>
        <w:t>=2x+4</w:t>
      </w:r>
      <w:r w:rsidRPr="003A19FB">
        <w:rPr>
          <w:rFonts w:ascii="楷体_GB2312" w:eastAsia="楷体_GB2312" w:hAnsi="微软雅黑" w:cs="宋体" w:hint="eastAsia"/>
          <w:color w:val="333333"/>
          <w:kern w:val="0"/>
          <w:sz w:val="32"/>
          <w:szCs w:val="32"/>
        </w:rPr>
        <w:t>，（甲</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乙）</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（丙</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丁</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戊）</w:t>
      </w:r>
      <w:r w:rsidRPr="003A19FB">
        <w:rPr>
          <w:rFonts w:ascii="微软雅黑" w:eastAsia="微软雅黑" w:hAnsi="微软雅黑" w:cs="宋体" w:hint="eastAsia"/>
          <w:color w:val="333333"/>
          <w:kern w:val="0"/>
          <w:sz w:val="32"/>
          <w:szCs w:val="32"/>
        </w:rPr>
        <w:t>/3+3</w:t>
      </w:r>
      <w:r w:rsidRPr="003A19FB">
        <w:rPr>
          <w:rFonts w:ascii="楷体_GB2312" w:eastAsia="楷体_GB2312" w:hAnsi="微软雅黑" w:cs="宋体" w:hint="eastAsia"/>
          <w:color w:val="333333"/>
          <w:kern w:val="0"/>
          <w:sz w:val="32"/>
          <w:szCs w:val="32"/>
        </w:rPr>
        <w:t>，则丁</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戊</w:t>
      </w:r>
      <w:r w:rsidRPr="003A19FB">
        <w:rPr>
          <w:rFonts w:ascii="微软雅黑" w:eastAsia="微软雅黑" w:hAnsi="微软雅黑" w:cs="宋体" w:hint="eastAsia"/>
          <w:color w:val="333333"/>
          <w:kern w:val="0"/>
          <w:sz w:val="32"/>
          <w:szCs w:val="32"/>
        </w:rPr>
        <w:t>=2x-3</w:t>
      </w:r>
      <w:r w:rsidRPr="003A19FB">
        <w:rPr>
          <w:rFonts w:ascii="楷体_GB2312" w:eastAsia="楷体_GB2312" w:hAnsi="微软雅黑" w:cs="宋体" w:hint="eastAsia"/>
          <w:color w:val="333333"/>
          <w:kern w:val="0"/>
          <w:sz w:val="32"/>
          <w:szCs w:val="32"/>
        </w:rPr>
        <w:t>；戊</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丁</w:t>
      </w:r>
      <w:r w:rsidRPr="003A19FB">
        <w:rPr>
          <w:rFonts w:ascii="微软雅黑" w:eastAsia="微软雅黑" w:hAnsi="微软雅黑" w:cs="宋体" w:hint="eastAsia"/>
          <w:color w:val="333333"/>
          <w:kern w:val="0"/>
          <w:sz w:val="32"/>
          <w:szCs w:val="32"/>
        </w:rPr>
        <w:t>=10</w:t>
      </w:r>
      <w:r w:rsidRPr="003A19FB">
        <w:rPr>
          <w:rFonts w:ascii="楷体_GB2312" w:eastAsia="楷体_GB2312" w:hAnsi="微软雅黑" w:cs="宋体" w:hint="eastAsia"/>
          <w:color w:val="333333"/>
          <w:kern w:val="0"/>
          <w:sz w:val="32"/>
          <w:szCs w:val="32"/>
        </w:rPr>
        <w:t>，则戊</w:t>
      </w:r>
      <w:r w:rsidRPr="003A19FB">
        <w:rPr>
          <w:rFonts w:ascii="微软雅黑" w:eastAsia="微软雅黑" w:hAnsi="微软雅黑" w:cs="宋体" w:hint="eastAsia"/>
          <w:color w:val="333333"/>
          <w:kern w:val="0"/>
          <w:sz w:val="32"/>
          <w:szCs w:val="32"/>
        </w:rPr>
        <w:t>=x+3.5</w:t>
      </w:r>
      <w:r w:rsidRPr="003A19FB">
        <w:rPr>
          <w:rFonts w:ascii="楷体_GB2312" w:eastAsia="楷体_GB2312" w:hAnsi="微软雅黑" w:cs="宋体" w:hint="eastAsia"/>
          <w:color w:val="333333"/>
          <w:kern w:val="0"/>
          <w:sz w:val="32"/>
          <w:szCs w:val="32"/>
        </w:rPr>
        <w:t>，丁</w:t>
      </w:r>
      <w:r w:rsidRPr="003A19FB">
        <w:rPr>
          <w:rFonts w:ascii="微软雅黑" w:eastAsia="微软雅黑" w:hAnsi="微软雅黑" w:cs="宋体" w:hint="eastAsia"/>
          <w:color w:val="333333"/>
          <w:kern w:val="0"/>
          <w:sz w:val="32"/>
          <w:szCs w:val="32"/>
        </w:rPr>
        <w:t>=x-6.5</w:t>
      </w:r>
      <w:r w:rsidRPr="003A19FB">
        <w:rPr>
          <w:rFonts w:ascii="楷体_GB2312" w:eastAsia="楷体_GB2312" w:hAnsi="微软雅黑" w:cs="宋体" w:hint="eastAsia"/>
          <w:color w:val="333333"/>
          <w:kern w:val="0"/>
          <w:sz w:val="32"/>
          <w:szCs w:val="32"/>
        </w:rPr>
        <w:t>。因此，正确答案为</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6F6738A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：高校某专业</w:t>
      </w:r>
      <w:r w:rsidRPr="003A19FB">
        <w:rPr>
          <w:rFonts w:ascii="微软雅黑" w:eastAsia="微软雅黑" w:hAnsi="微软雅黑" w:cs="宋体" w:hint="eastAsia"/>
          <w:color w:val="333333"/>
          <w:kern w:val="0"/>
          <w:sz w:val="32"/>
          <w:szCs w:val="32"/>
        </w:rPr>
        <w:t>70</w:t>
      </w:r>
      <w:r w:rsidRPr="003A19FB">
        <w:rPr>
          <w:rFonts w:ascii="楷体_GB2312" w:eastAsia="楷体_GB2312" w:hAnsi="微软雅黑" w:cs="宋体" w:hint="eastAsia"/>
          <w:color w:val="333333"/>
          <w:kern w:val="0"/>
          <w:sz w:val="32"/>
          <w:szCs w:val="32"/>
        </w:rPr>
        <w:t>多名毕业生中，有</w:t>
      </w:r>
      <w:r w:rsidRPr="003A19FB">
        <w:rPr>
          <w:rFonts w:ascii="微软雅黑" w:eastAsia="微软雅黑" w:hAnsi="微软雅黑" w:cs="宋体" w:hint="eastAsia"/>
          <w:color w:val="333333"/>
          <w:kern w:val="0"/>
          <w:sz w:val="32"/>
          <w:szCs w:val="32"/>
        </w:rPr>
        <w:t>96%</w:t>
      </w:r>
      <w:r w:rsidRPr="003A19FB">
        <w:rPr>
          <w:rFonts w:ascii="楷体_GB2312" w:eastAsia="楷体_GB2312" w:hAnsi="微软雅黑" w:cs="宋体" w:hint="eastAsia"/>
          <w:color w:val="333333"/>
          <w:kern w:val="0"/>
          <w:sz w:val="32"/>
          <w:szCs w:val="32"/>
        </w:rPr>
        <w:t>在毕业后去西部省区支援国家建设。其中去偏远中小学支教的毕业生占该专业毕业生总数的</w:t>
      </w:r>
      <w:r w:rsidRPr="003A19FB">
        <w:rPr>
          <w:rFonts w:ascii="微软雅黑" w:eastAsia="微软雅黑" w:hAnsi="微软雅黑" w:cs="宋体" w:hint="eastAsia"/>
          <w:color w:val="333333"/>
          <w:kern w:val="0"/>
          <w:sz w:val="32"/>
          <w:szCs w:val="32"/>
        </w:rPr>
        <w:t>20%</w:t>
      </w:r>
      <w:r w:rsidRPr="003A19FB">
        <w:rPr>
          <w:rFonts w:ascii="楷体_GB2312" w:eastAsia="楷体_GB2312" w:hAnsi="微软雅黑" w:cs="宋体" w:hint="eastAsia"/>
          <w:color w:val="333333"/>
          <w:kern w:val="0"/>
          <w:sz w:val="32"/>
          <w:szCs w:val="32"/>
        </w:rPr>
        <w:t>，比任职大学生村官的毕业生少</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人，比在西部地区参军入伍的毕业生多</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人，其余的毕业生选择去国有企业西部边远岗位工作。问去国有企业西部边远岗位工作的毕业生有多少人？</w:t>
      </w:r>
    </w:p>
    <w:p w14:paraId="65F464E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 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23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26</w:t>
      </w:r>
    </w:p>
    <w:p w14:paraId="6BD0123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 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29                                     D</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32</w:t>
      </w:r>
    </w:p>
    <w:p w14:paraId="2856A995"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。总人数是</w:t>
      </w:r>
      <w:r w:rsidRPr="003A19FB">
        <w:rPr>
          <w:rFonts w:ascii="微软雅黑" w:eastAsia="微软雅黑" w:hAnsi="微软雅黑" w:cs="宋体" w:hint="eastAsia"/>
          <w:color w:val="333333"/>
          <w:kern w:val="0"/>
          <w:sz w:val="32"/>
          <w:szCs w:val="32"/>
        </w:rPr>
        <w:t>25</w:t>
      </w:r>
      <w:r w:rsidRPr="003A19FB">
        <w:rPr>
          <w:rFonts w:ascii="楷体_GB2312" w:eastAsia="楷体_GB2312" w:hAnsi="微软雅黑" w:cs="宋体" w:hint="eastAsia"/>
          <w:color w:val="333333"/>
          <w:kern w:val="0"/>
          <w:sz w:val="32"/>
          <w:szCs w:val="32"/>
        </w:rPr>
        <w:t>的倍数且在</w:t>
      </w:r>
      <w:r w:rsidRPr="003A19FB">
        <w:rPr>
          <w:rFonts w:ascii="微软雅黑" w:eastAsia="微软雅黑" w:hAnsi="微软雅黑" w:cs="宋体" w:hint="eastAsia"/>
          <w:color w:val="333333"/>
          <w:kern w:val="0"/>
          <w:sz w:val="32"/>
          <w:szCs w:val="32"/>
        </w:rPr>
        <w:t>70</w:t>
      </w:r>
      <w:r w:rsidRPr="003A19FB">
        <w:rPr>
          <w:rFonts w:ascii="楷体_GB2312" w:eastAsia="楷体_GB2312" w:hAnsi="微软雅黑" w:cs="宋体" w:hint="eastAsia"/>
          <w:color w:val="333333"/>
          <w:kern w:val="0"/>
          <w:sz w:val="32"/>
          <w:szCs w:val="32"/>
        </w:rPr>
        <w:t>到</w:t>
      </w:r>
      <w:r w:rsidRPr="003A19FB">
        <w:rPr>
          <w:rFonts w:ascii="微软雅黑" w:eastAsia="微软雅黑" w:hAnsi="微软雅黑" w:cs="宋体" w:hint="eastAsia"/>
          <w:color w:val="333333"/>
          <w:kern w:val="0"/>
          <w:sz w:val="32"/>
          <w:szCs w:val="32"/>
        </w:rPr>
        <w:t>80</w:t>
      </w:r>
      <w:r w:rsidRPr="003A19FB">
        <w:rPr>
          <w:rFonts w:ascii="楷体_GB2312" w:eastAsia="楷体_GB2312" w:hAnsi="微软雅黑" w:cs="宋体" w:hint="eastAsia"/>
          <w:color w:val="333333"/>
          <w:kern w:val="0"/>
          <w:sz w:val="32"/>
          <w:szCs w:val="32"/>
        </w:rPr>
        <w:t>之间，只有</w:t>
      </w:r>
      <w:r w:rsidRPr="003A19FB">
        <w:rPr>
          <w:rFonts w:ascii="微软雅黑" w:eastAsia="微软雅黑" w:hAnsi="微软雅黑" w:cs="宋体" w:hint="eastAsia"/>
          <w:color w:val="333333"/>
          <w:kern w:val="0"/>
          <w:sz w:val="32"/>
          <w:szCs w:val="32"/>
        </w:rPr>
        <w:t>75</w:t>
      </w:r>
      <w:r w:rsidRPr="003A19FB">
        <w:rPr>
          <w:rFonts w:ascii="楷体_GB2312" w:eastAsia="楷体_GB2312" w:hAnsi="微软雅黑" w:cs="宋体" w:hint="eastAsia"/>
          <w:color w:val="333333"/>
          <w:kern w:val="0"/>
          <w:sz w:val="32"/>
          <w:szCs w:val="32"/>
        </w:rPr>
        <w:t>一个可能性，其中</w:t>
      </w:r>
      <w:r w:rsidRPr="003A19FB">
        <w:rPr>
          <w:rFonts w:ascii="微软雅黑" w:eastAsia="微软雅黑" w:hAnsi="微软雅黑" w:cs="宋体" w:hint="eastAsia"/>
          <w:color w:val="333333"/>
          <w:kern w:val="0"/>
          <w:sz w:val="32"/>
          <w:szCs w:val="32"/>
        </w:rPr>
        <w:t>72</w:t>
      </w:r>
      <w:r w:rsidRPr="003A19FB">
        <w:rPr>
          <w:rFonts w:ascii="楷体_GB2312" w:eastAsia="楷体_GB2312" w:hAnsi="微软雅黑" w:cs="宋体" w:hint="eastAsia"/>
          <w:color w:val="333333"/>
          <w:kern w:val="0"/>
          <w:sz w:val="32"/>
          <w:szCs w:val="32"/>
        </w:rPr>
        <w:t>人去西部地区。支教、村官和入伍分别有</w:t>
      </w:r>
      <w:r w:rsidRPr="003A19FB">
        <w:rPr>
          <w:rFonts w:ascii="微软雅黑" w:eastAsia="微软雅黑" w:hAnsi="微软雅黑" w:cs="宋体" w:hint="eastAsia"/>
          <w:color w:val="333333"/>
          <w:kern w:val="0"/>
          <w:sz w:val="32"/>
          <w:szCs w:val="32"/>
        </w:rPr>
        <w:t>15</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17</w:t>
      </w:r>
      <w:r w:rsidRPr="003A19FB">
        <w:rPr>
          <w:rFonts w:ascii="楷体_GB2312" w:eastAsia="楷体_GB2312" w:hAnsi="微软雅黑" w:cs="宋体" w:hint="eastAsia"/>
          <w:color w:val="333333"/>
          <w:kern w:val="0"/>
          <w:sz w:val="32"/>
          <w:szCs w:val="32"/>
        </w:rPr>
        <w:t>和</w:t>
      </w:r>
      <w:r w:rsidRPr="003A19FB">
        <w:rPr>
          <w:rFonts w:ascii="微软雅黑" w:eastAsia="微软雅黑" w:hAnsi="微软雅黑" w:cs="宋体" w:hint="eastAsia"/>
          <w:color w:val="333333"/>
          <w:kern w:val="0"/>
          <w:sz w:val="32"/>
          <w:szCs w:val="32"/>
        </w:rPr>
        <w:t>14</w:t>
      </w:r>
      <w:r w:rsidRPr="003A19FB">
        <w:rPr>
          <w:rFonts w:ascii="楷体_GB2312" w:eastAsia="楷体_GB2312" w:hAnsi="微软雅黑" w:cs="宋体" w:hint="eastAsia"/>
          <w:color w:val="333333"/>
          <w:kern w:val="0"/>
          <w:sz w:val="32"/>
          <w:szCs w:val="32"/>
        </w:rPr>
        <w:t>人，总计有</w:t>
      </w:r>
      <w:r w:rsidRPr="003A19FB">
        <w:rPr>
          <w:rFonts w:ascii="微软雅黑" w:eastAsia="微软雅黑" w:hAnsi="微软雅黑" w:cs="宋体" w:hint="eastAsia"/>
          <w:color w:val="333333"/>
          <w:kern w:val="0"/>
          <w:sz w:val="32"/>
          <w:szCs w:val="32"/>
        </w:rPr>
        <w:t>46</w:t>
      </w:r>
      <w:r w:rsidRPr="003A19FB">
        <w:rPr>
          <w:rFonts w:ascii="楷体_GB2312" w:eastAsia="楷体_GB2312" w:hAnsi="微软雅黑" w:cs="宋体" w:hint="eastAsia"/>
          <w:color w:val="333333"/>
          <w:kern w:val="0"/>
          <w:sz w:val="32"/>
          <w:szCs w:val="32"/>
        </w:rPr>
        <w:t>人，剩余</w:t>
      </w:r>
      <w:r w:rsidRPr="003A19FB">
        <w:rPr>
          <w:rFonts w:ascii="微软雅黑" w:eastAsia="微软雅黑" w:hAnsi="微软雅黑" w:cs="宋体" w:hint="eastAsia"/>
          <w:color w:val="333333"/>
          <w:kern w:val="0"/>
          <w:sz w:val="32"/>
          <w:szCs w:val="32"/>
        </w:rPr>
        <w:t>26</w:t>
      </w:r>
      <w:r w:rsidRPr="003A19FB">
        <w:rPr>
          <w:rFonts w:ascii="楷体_GB2312" w:eastAsia="楷体_GB2312" w:hAnsi="微软雅黑" w:cs="宋体" w:hint="eastAsia"/>
          <w:color w:val="333333"/>
          <w:kern w:val="0"/>
          <w:sz w:val="32"/>
          <w:szCs w:val="32"/>
        </w:rPr>
        <w:t>人在国企工作。因此，正确答案为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1FB4939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（四）判断推理。</w:t>
      </w:r>
      <w:r w:rsidRPr="003A19FB">
        <w:rPr>
          <w:rFonts w:ascii="仿宋_GB2312" w:eastAsia="仿宋_GB2312" w:hAnsi="微软雅黑" w:cs="宋体" w:hint="eastAsia"/>
          <w:color w:val="333333"/>
          <w:kern w:val="0"/>
          <w:sz w:val="32"/>
          <w:szCs w:val="32"/>
        </w:rPr>
        <w:t>主要测查报考者对各种事物关系的分析推理能力，主要涉及对图形、语词概念、事物关系和文字</w:t>
      </w:r>
      <w:r w:rsidRPr="003A19FB">
        <w:rPr>
          <w:rFonts w:ascii="仿宋_GB2312" w:eastAsia="仿宋_GB2312" w:hAnsi="微软雅黑" w:cs="宋体" w:hint="eastAsia"/>
          <w:color w:val="333333"/>
          <w:kern w:val="0"/>
          <w:sz w:val="32"/>
          <w:szCs w:val="32"/>
        </w:rPr>
        <w:lastRenderedPageBreak/>
        <w:t>材料的理解、比较、组合、演绎和归纳等。常用题型有图形推理、定义判断、类比推理、逻辑判断四种。</w:t>
      </w:r>
    </w:p>
    <w:p w14:paraId="6D8E04BB"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图形推理：</w:t>
      </w:r>
      <w:r w:rsidRPr="003A19FB">
        <w:rPr>
          <w:rFonts w:ascii="仿宋_GB2312" w:eastAsia="仿宋_GB2312" w:hAnsi="微软雅黑" w:cs="宋体" w:hint="eastAsia"/>
          <w:color w:val="333333"/>
          <w:kern w:val="0"/>
          <w:sz w:val="32"/>
          <w:szCs w:val="32"/>
        </w:rPr>
        <w:t>每道题给出一套或两套图形，要求报考者通过观察分析找出图形排列的规律，选出符合规律的一项。</w:t>
      </w:r>
    </w:p>
    <w:p w14:paraId="7C5858B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：把下面的六个图形分为两类，使每一类图形都有各自的共同特征或规律，分类正确的一项是：</w:t>
      </w:r>
    </w:p>
    <w:p w14:paraId="64505C24" w14:textId="77777777" w:rsidR="003A19FB" w:rsidRPr="003A19FB" w:rsidRDefault="003A19FB" w:rsidP="003A19FB">
      <w:pPr>
        <w:widowControl/>
        <w:shd w:val="clear" w:color="auto" w:fill="FFFFFF"/>
        <w:spacing w:before="100" w:beforeAutospacing="1" w:after="100" w:afterAutospacing="1" w:line="555" w:lineRule="atLeast"/>
        <w:ind w:left="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①</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②</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③</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④</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⑤</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 xml:space="preserve"> </w:t>
      </w:r>
      <w:r w:rsidRPr="003A19FB">
        <w:rPr>
          <w:rFonts w:ascii="仿宋_GB2312" w:eastAsia="仿宋_GB2312" w:hAnsi="微软雅黑" w:cs="宋体" w:hint="eastAsia"/>
          <w:color w:val="333333"/>
          <w:kern w:val="0"/>
          <w:sz w:val="32"/>
          <w:szCs w:val="32"/>
        </w:rPr>
        <w:t> </w:t>
      </w:r>
      <w:r w:rsidRPr="003A19FB">
        <w:rPr>
          <w:rFonts w:ascii="仿宋_GB2312" w:eastAsia="仿宋_GB2312" w:hAnsi="微软雅黑" w:cs="宋体" w:hint="eastAsia"/>
          <w:color w:val="333333"/>
          <w:kern w:val="0"/>
          <w:sz w:val="32"/>
          <w:szCs w:val="32"/>
        </w:rPr>
        <w:t>⑥</w:t>
      </w:r>
    </w:p>
    <w:p w14:paraId="79EBAE10" w14:textId="0700B19D" w:rsidR="003A19FB" w:rsidRPr="003A19FB" w:rsidRDefault="003A19FB" w:rsidP="003A19FB">
      <w:pPr>
        <w:widowControl/>
        <w:shd w:val="clear" w:color="auto" w:fill="FFFFFF"/>
        <w:spacing w:before="100" w:beforeAutospacing="1" w:after="100" w:afterAutospacing="1" w:line="555" w:lineRule="atLeast"/>
        <w:ind w:left="645"/>
        <w:rPr>
          <w:rFonts w:ascii="微软雅黑" w:eastAsia="微软雅黑" w:hAnsi="微软雅黑" w:cs="宋体" w:hint="eastAsia"/>
          <w:color w:val="333333"/>
          <w:kern w:val="0"/>
          <w:sz w:val="18"/>
          <w:szCs w:val="18"/>
        </w:rPr>
      </w:pPr>
      <w:r w:rsidRPr="003A19FB">
        <w:rPr>
          <w:rFonts w:ascii="仿宋_GB2312" w:eastAsia="仿宋_GB2312" w:hAnsi="微软雅黑" w:cs="宋体"/>
          <w:noProof/>
          <w:color w:val="333333"/>
          <w:kern w:val="0"/>
          <w:sz w:val="32"/>
          <w:szCs w:val="32"/>
        </w:rPr>
        <w:drawing>
          <wp:inline distT="0" distB="0" distL="0" distR="0" wp14:anchorId="359D41E9" wp14:editId="7ECFDA90">
            <wp:extent cx="5274310" cy="747395"/>
            <wp:effectExtent l="0" t="0" r="2540" b="0"/>
            <wp:docPr id="182363808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47395"/>
                    </a:xfrm>
                    <a:prstGeom prst="rect">
                      <a:avLst/>
                    </a:prstGeom>
                    <a:noFill/>
                    <a:ln>
                      <a:noFill/>
                    </a:ln>
                  </pic:spPr>
                </pic:pic>
              </a:graphicData>
            </a:graphic>
          </wp:inline>
        </w:drawing>
      </w:r>
    </w:p>
    <w:p w14:paraId="6181859C" w14:textId="77777777" w:rsidR="003A19FB" w:rsidRPr="003A19FB" w:rsidRDefault="003A19FB" w:rsidP="003A19FB">
      <w:pPr>
        <w:widowControl/>
        <w:shd w:val="clear" w:color="auto" w:fill="FFFFFF"/>
        <w:spacing w:before="100" w:beforeAutospacing="1" w:after="100" w:afterAutospacing="1" w:line="555" w:lineRule="atLeast"/>
        <w:ind w:left="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．①②⑥，③④⑤</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．①③④，②⑤⑥</w:t>
      </w:r>
    </w:p>
    <w:p w14:paraId="40EF9DCB"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．①④⑤，②③⑥</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．①④⑥，②③⑤</w:t>
      </w:r>
    </w:p>
    <w:p w14:paraId="438552B5"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。题干中每个图形中都有多个封闭图形和线段，考虑二者之间的位置关系。因此，正确答案为</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6CC2BB0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：从所给的四个选项中，选择最合适的一个填入问号处，使之呈现一定的规律性：</w:t>
      </w:r>
    </w:p>
    <w:p w14:paraId="058EBEA3" w14:textId="57516796" w:rsidR="003A19FB" w:rsidRPr="003A19FB" w:rsidRDefault="003A19FB" w:rsidP="003A19FB">
      <w:pPr>
        <w:widowControl/>
        <w:shd w:val="clear" w:color="auto" w:fill="FFFFFF"/>
        <w:spacing w:before="100" w:beforeAutospacing="1" w:after="100" w:afterAutospacing="1"/>
        <w:jc w:val="center"/>
        <w:rPr>
          <w:rFonts w:ascii="微软雅黑" w:eastAsia="微软雅黑" w:hAnsi="微软雅黑" w:cs="宋体" w:hint="eastAsia"/>
          <w:color w:val="333333"/>
          <w:kern w:val="0"/>
          <w:sz w:val="18"/>
          <w:szCs w:val="18"/>
        </w:rPr>
      </w:pPr>
      <w:r w:rsidRPr="003A19FB">
        <w:rPr>
          <w:rFonts w:ascii="微软雅黑" w:eastAsia="微软雅黑" w:hAnsi="微软雅黑" w:cs="宋体"/>
          <w:noProof/>
          <w:color w:val="333333"/>
          <w:kern w:val="0"/>
          <w:sz w:val="18"/>
          <w:szCs w:val="18"/>
        </w:rPr>
        <w:lastRenderedPageBreak/>
        <w:drawing>
          <wp:inline distT="0" distB="0" distL="0" distR="0" wp14:anchorId="6CF653FE" wp14:editId="242C6CA9">
            <wp:extent cx="4791075" cy="876300"/>
            <wp:effectExtent l="0" t="0" r="9525" b="0"/>
            <wp:docPr id="4343276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876300"/>
                    </a:xfrm>
                    <a:prstGeom prst="rect">
                      <a:avLst/>
                    </a:prstGeom>
                    <a:noFill/>
                    <a:ln>
                      <a:noFill/>
                    </a:ln>
                  </pic:spPr>
                </pic:pic>
              </a:graphicData>
            </a:graphic>
          </wp:inline>
        </w:drawing>
      </w:r>
    </w:p>
    <w:p w14:paraId="50342FAE" w14:textId="038D2070" w:rsidR="003A19FB" w:rsidRPr="003A19FB" w:rsidRDefault="003A19FB" w:rsidP="003A19FB">
      <w:pPr>
        <w:widowControl/>
        <w:shd w:val="clear" w:color="auto" w:fill="FFFFFF"/>
        <w:spacing w:before="100" w:beforeAutospacing="1" w:after="100" w:afterAutospacing="1"/>
        <w:jc w:val="center"/>
        <w:rPr>
          <w:rFonts w:ascii="微软雅黑" w:eastAsia="微软雅黑" w:hAnsi="微软雅黑" w:cs="宋体" w:hint="eastAsia"/>
          <w:color w:val="333333"/>
          <w:kern w:val="0"/>
          <w:sz w:val="18"/>
          <w:szCs w:val="18"/>
        </w:rPr>
      </w:pPr>
      <w:r w:rsidRPr="003A19FB">
        <w:rPr>
          <w:rFonts w:ascii="微软雅黑" w:eastAsia="微软雅黑" w:hAnsi="微软雅黑" w:cs="宋体"/>
          <w:noProof/>
          <w:color w:val="333333"/>
          <w:kern w:val="0"/>
          <w:sz w:val="18"/>
          <w:szCs w:val="18"/>
        </w:rPr>
        <w:drawing>
          <wp:inline distT="0" distB="0" distL="0" distR="0" wp14:anchorId="41013AFF" wp14:editId="717DD624">
            <wp:extent cx="3209925" cy="876300"/>
            <wp:effectExtent l="0" t="0" r="0" b="0"/>
            <wp:docPr id="10000727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76300"/>
                    </a:xfrm>
                    <a:prstGeom prst="rect">
                      <a:avLst/>
                    </a:prstGeom>
                    <a:noFill/>
                    <a:ln>
                      <a:noFill/>
                    </a:ln>
                  </pic:spPr>
                </pic:pic>
              </a:graphicData>
            </a:graphic>
          </wp:inline>
        </w:drawing>
      </w:r>
    </w:p>
    <w:p w14:paraId="7D161673" w14:textId="77777777" w:rsidR="003A19FB" w:rsidRPr="003A19FB" w:rsidRDefault="003A19FB" w:rsidP="003A19FB">
      <w:pPr>
        <w:widowControl/>
        <w:shd w:val="clear" w:color="auto" w:fill="FFFFFF"/>
        <w:spacing w:before="100" w:beforeAutospacing="1" w:after="100" w:afterAutospacing="1"/>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                                              A            B          C          D</w:t>
      </w:r>
    </w:p>
    <w:p w14:paraId="53683DB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。所有图形均为轴对称图形，从对称轴的变化来看，有两个规律：一是对称轴位置，第一个图形对称轴是垂直状态，之后图形的对称轴依次顺时针旋转</w:t>
      </w:r>
      <w:r w:rsidRPr="003A19FB">
        <w:rPr>
          <w:rFonts w:ascii="微软雅黑" w:eastAsia="微软雅黑" w:hAnsi="微软雅黑" w:cs="宋体" w:hint="eastAsia"/>
          <w:color w:val="333333"/>
          <w:kern w:val="0"/>
          <w:sz w:val="32"/>
          <w:szCs w:val="32"/>
        </w:rPr>
        <w:t>45</w:t>
      </w:r>
      <w:r w:rsidRPr="003A19FB">
        <w:rPr>
          <w:rFonts w:ascii="楷体_GB2312" w:eastAsia="楷体_GB2312" w:hAnsi="微软雅黑" w:cs="宋体" w:hint="eastAsia"/>
          <w:color w:val="333333"/>
          <w:kern w:val="0"/>
          <w:sz w:val="32"/>
          <w:szCs w:val="32"/>
        </w:rPr>
        <w:t>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6114DD7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：下图是给定的空心立体图形，将其从任一面剖开，以下哪项可能是该立体图形的截面？</w:t>
      </w:r>
    </w:p>
    <w:p w14:paraId="7880F059" w14:textId="73440009" w:rsidR="003A19FB" w:rsidRPr="003A19FB" w:rsidRDefault="003A19FB" w:rsidP="003A19FB">
      <w:pPr>
        <w:widowControl/>
        <w:shd w:val="clear" w:color="auto" w:fill="FFFFFF"/>
        <w:spacing w:before="100" w:beforeAutospacing="1" w:after="100" w:afterAutospacing="1" w:line="555" w:lineRule="atLeast"/>
        <w:ind w:firstLine="645"/>
        <w:jc w:val="center"/>
        <w:rPr>
          <w:rFonts w:ascii="微软雅黑" w:eastAsia="微软雅黑" w:hAnsi="微软雅黑" w:cs="宋体" w:hint="eastAsia"/>
          <w:color w:val="333333"/>
          <w:kern w:val="0"/>
          <w:sz w:val="18"/>
          <w:szCs w:val="18"/>
        </w:rPr>
      </w:pPr>
      <w:r w:rsidRPr="003A19FB">
        <w:rPr>
          <w:rFonts w:ascii="微软雅黑" w:eastAsia="微软雅黑" w:hAnsi="微软雅黑" w:cs="宋体"/>
          <w:noProof/>
          <w:color w:val="333333"/>
          <w:kern w:val="0"/>
          <w:sz w:val="18"/>
          <w:szCs w:val="18"/>
        </w:rPr>
        <w:lastRenderedPageBreak/>
        <w:drawing>
          <wp:inline distT="0" distB="0" distL="0" distR="0" wp14:anchorId="67412F10" wp14:editId="3B16C302">
            <wp:extent cx="4600575" cy="3200400"/>
            <wp:effectExtent l="0" t="0" r="9525" b="0"/>
            <wp:docPr id="116938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3200400"/>
                    </a:xfrm>
                    <a:prstGeom prst="rect">
                      <a:avLst/>
                    </a:prstGeom>
                    <a:noFill/>
                    <a:ln>
                      <a:noFill/>
                    </a:ln>
                  </pic:spPr>
                </pic:pic>
              </a:graphicData>
            </a:graphic>
          </wp:inline>
        </w:drawing>
      </w:r>
    </w:p>
    <w:p w14:paraId="0591898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p>
    <w:p w14:paraId="3B56025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b/>
          <w:bCs/>
          <w:color w:val="333333"/>
          <w:kern w:val="0"/>
          <w:sz w:val="32"/>
          <w:szCs w:val="32"/>
        </w:rPr>
        <w:t> </w:t>
      </w: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6DA4BEE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定义判断：</w:t>
      </w:r>
      <w:r w:rsidRPr="003A19FB">
        <w:rPr>
          <w:rFonts w:ascii="仿宋_GB2312" w:eastAsia="仿宋_GB2312" w:hAnsi="微软雅黑" w:cs="宋体" w:hint="eastAsia"/>
          <w:color w:val="333333"/>
          <w:kern w:val="0"/>
          <w:sz w:val="32"/>
          <w:szCs w:val="32"/>
        </w:rPr>
        <w:t>每道题先对相关概念进行定义，然后分别列出四种情况，要求报考者严格依据定义选出一个最符合或最不符合该定义的答案。</w:t>
      </w:r>
    </w:p>
    <w:p w14:paraId="643DD646" w14:textId="77777777" w:rsidR="003A19FB" w:rsidRPr="003A19FB" w:rsidRDefault="003A19FB" w:rsidP="003A19FB">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14:paraId="33523A96" w14:textId="77777777" w:rsidR="003A19FB" w:rsidRPr="003A19FB" w:rsidRDefault="003A19FB" w:rsidP="003A19FB">
      <w:pPr>
        <w:widowControl/>
        <w:shd w:val="clear" w:color="auto" w:fill="FFFFFF"/>
        <w:spacing w:before="100" w:beforeAutospacing="1" w:after="100" w:afterAutospacing="1" w:line="555" w:lineRule="atLeast"/>
        <w:ind w:left="1110"/>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根据上述定义，下列说法正确的是：</w:t>
      </w:r>
    </w:p>
    <w:p w14:paraId="749E4955"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lastRenderedPageBreak/>
        <w:t>A</w:t>
      </w:r>
      <w:r w:rsidRPr="003A19FB">
        <w:rPr>
          <w:rFonts w:ascii="楷体_GB2312" w:eastAsia="楷体_GB2312" w:hAnsi="微软雅黑" w:cs="宋体" w:hint="eastAsia"/>
          <w:color w:val="333333"/>
          <w:kern w:val="0"/>
          <w:sz w:val="32"/>
          <w:szCs w:val="32"/>
        </w:rPr>
        <w:t>．对某市幼儿园所有儿童进行口腔卫生检查，这属于非全面调查</w:t>
      </w:r>
    </w:p>
    <w:p w14:paraId="77702E99"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．对全国招生规模较大的前</w:t>
      </w:r>
      <w:r w:rsidRPr="003A19FB">
        <w:rPr>
          <w:rFonts w:ascii="微软雅黑" w:eastAsia="微软雅黑" w:hAnsi="微软雅黑" w:cs="宋体" w:hint="eastAsia"/>
          <w:color w:val="333333"/>
          <w:kern w:val="0"/>
          <w:sz w:val="32"/>
          <w:szCs w:val="32"/>
        </w:rPr>
        <w:t>30</w:t>
      </w:r>
      <w:r w:rsidRPr="003A19FB">
        <w:rPr>
          <w:rFonts w:ascii="楷体_GB2312" w:eastAsia="楷体_GB2312" w:hAnsi="微软雅黑" w:cs="宋体" w:hint="eastAsia"/>
          <w:color w:val="333333"/>
          <w:kern w:val="0"/>
          <w:sz w:val="32"/>
          <w:szCs w:val="32"/>
        </w:rPr>
        <w:t>所医学院校进行学生就业情况调查，这属于典型调查</w:t>
      </w:r>
    </w:p>
    <w:p w14:paraId="25B89301"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．对省内</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年级的全体学生进行体育活动时间的调查，这属于非全面调查</w:t>
      </w:r>
    </w:p>
    <w:p w14:paraId="34EC44BC"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．对某市中考数学成绩最好的几所学校进行调查，总结相关经验，这属于抽样调查</w:t>
      </w:r>
    </w:p>
    <w:p w14:paraId="6715C30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。根据题干，“全面调查”的定义要点是：一定范围内的普查；“非全面调查”的定义要点是：在总体中抽取部分对象；根据选择样本的方式又分为抽样调查和典型调查。</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选项体现了一定范围内的普查，属于全面调查，叙述错误；</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选项符合典型调查，叙述正确；</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选项体现了一定范围内的普查，属于全面调查，叙述错误；</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选项是典型调查，叙述错误。因此，正确答案为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48E8B2FF" w14:textId="77777777" w:rsidR="003A19FB" w:rsidRPr="003A19FB" w:rsidRDefault="003A19FB" w:rsidP="003A19FB">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：物候现象是生物随着气候一年四季的周期性变化而发生的相应季节性变化的现象。影响物候现象的因素主要包括海拔的差异、经度的差异、纬度的差异和时间的差异。</w:t>
      </w:r>
    </w:p>
    <w:p w14:paraId="2227C258" w14:textId="77777777" w:rsidR="003A19FB" w:rsidRPr="003A19FB" w:rsidRDefault="003A19FB" w:rsidP="003A19FB">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下列诗句反映的物候现象受到海拔差异影响的是：</w:t>
      </w:r>
    </w:p>
    <w:p w14:paraId="6A577E6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lastRenderedPageBreak/>
        <w:t>A</w:t>
      </w:r>
      <w:r w:rsidRPr="003A19FB">
        <w:rPr>
          <w:rFonts w:ascii="楷体_GB2312" w:eastAsia="楷体_GB2312" w:hAnsi="微软雅黑" w:cs="宋体" w:hint="eastAsia"/>
          <w:color w:val="333333"/>
          <w:kern w:val="0"/>
          <w:sz w:val="32"/>
          <w:szCs w:val="32"/>
        </w:rPr>
        <w:t>．日出江花红胜火，春来江水绿如蓝</w:t>
      </w:r>
    </w:p>
    <w:p w14:paraId="3999772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．人间四月芳菲尽，山寺桃花始盛开</w:t>
      </w:r>
    </w:p>
    <w:p w14:paraId="4F7E154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．竹外桃花三两枝，春江水暖鸭先知</w:t>
      </w:r>
    </w:p>
    <w:p w14:paraId="3302F80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．羌笛何须怨杨柳，春风不度玉门关</w:t>
      </w:r>
    </w:p>
    <w:p w14:paraId="13F2A12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选项提到了春天江水呈碧蓝色，是由于春季温度升高，江水内藻类大量繁殖，反映了物候与季节有关系；</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选项提到了四月份时山地与平原地区花期不同的问题，反映了物候与地势高低有关系；</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选项只陈述了物候现象，没有反映出影响因素；</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选项描述了玉门关外春风不度的景象，是因为玉门关外受夏季风影响小，暖湿气流很难到达。因此，正确答案为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5E1C2E6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：数字农业是指用数字化技术，按人类需要的目标，对农业所涉及的对象和全过程进行数字化和可视化表达、设计、控制、管理等的农业。根据上述定义，下列没有体现数字农业的是：</w:t>
      </w:r>
    </w:p>
    <w:p w14:paraId="7A2C0C56" w14:textId="77777777" w:rsidR="003A19FB" w:rsidRPr="003A19FB" w:rsidRDefault="003A19FB" w:rsidP="003A19FB">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   </w:t>
      </w:r>
      <w:r w:rsidRPr="003A19FB">
        <w:rPr>
          <w:rFonts w:ascii="微软雅黑" w:eastAsia="微软雅黑" w:hAnsi="微软雅黑" w:cs="宋体" w:hint="eastAsia"/>
          <w:color w:val="333333"/>
          <w:kern w:val="0"/>
          <w:sz w:val="32"/>
          <w:szCs w:val="32"/>
        </w:rPr>
        <w:t> A</w:t>
      </w:r>
      <w:r w:rsidRPr="003A19FB">
        <w:rPr>
          <w:rFonts w:ascii="楷体_GB2312" w:eastAsia="楷体_GB2312" w:hAnsi="微软雅黑" w:cs="宋体" w:hint="eastAsia"/>
          <w:color w:val="333333"/>
          <w:kern w:val="0"/>
          <w:sz w:val="32"/>
          <w:szCs w:val="32"/>
        </w:rPr>
        <w:t>．遇到连绵阴雨天，果蔬容易滋生病害，需要及时喷药，采用轻型直升机几个小时就可以完成传统作业方式十多人几天才能完成的工作</w:t>
      </w:r>
    </w:p>
    <w:p w14:paraId="06E23BED" w14:textId="77777777" w:rsidR="003A19FB" w:rsidRPr="003A19FB" w:rsidRDefault="003A19FB" w:rsidP="003A19FB">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lastRenderedPageBreak/>
        <w:t>   </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．在大数据平台，点击任一块田地，就可以看到这块田地的土壤酸碱度、肥水条件、环境温度湿度等指标，农民可以根据这些信息进行田地管理</w:t>
      </w:r>
    </w:p>
    <w:p w14:paraId="3021B02A" w14:textId="77777777" w:rsidR="003A19FB" w:rsidRPr="003A19FB" w:rsidRDefault="003A19FB" w:rsidP="003A19FB">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    C</w:t>
      </w:r>
      <w:r w:rsidRPr="003A19FB">
        <w:rPr>
          <w:rFonts w:ascii="楷体_GB2312" w:eastAsia="楷体_GB2312" w:hAnsi="微软雅黑" w:cs="宋体" w:hint="eastAsia"/>
          <w:color w:val="333333"/>
          <w:kern w:val="0"/>
          <w:sz w:val="32"/>
          <w:szCs w:val="32"/>
        </w:rPr>
        <w:t>．某柑橘生产大省建立</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柑橘产业大数据中心</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，以数据驱动柑橘产业结构性改革和高质量发展</w:t>
      </w:r>
    </w:p>
    <w:p w14:paraId="1770168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．通过电子标签等技术，对单个产品赋予身份编码及认证信息，在生产管理、仓储、物流、销售等环节实现信息追溯</w:t>
      </w:r>
    </w:p>
    <w:p w14:paraId="421CCF4C" w14:textId="77777777" w:rsidR="003A19FB" w:rsidRPr="003A19FB" w:rsidRDefault="003A19FB" w:rsidP="003A19FB">
      <w:pPr>
        <w:widowControl/>
        <w:shd w:val="clear" w:color="auto" w:fill="FFFFFF"/>
        <w:spacing w:before="100" w:beforeAutospacing="1" w:after="100" w:afterAutospacing="1"/>
        <w:ind w:firstLine="43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。选项</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体现了运用数字化技术进行农田管理；选项</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和</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，体现了</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对农业所涉及对象</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的全过程管理；选项</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没有涉及数字化技术。因此，正确答案为</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66496E6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类比推理：</w:t>
      </w:r>
      <w:r w:rsidRPr="003A19FB">
        <w:rPr>
          <w:rFonts w:ascii="仿宋_GB2312" w:eastAsia="仿宋_GB2312" w:hAnsi="微软雅黑" w:cs="宋体" w:hint="eastAsia"/>
          <w:color w:val="333333"/>
          <w:kern w:val="0"/>
          <w:sz w:val="32"/>
          <w:szCs w:val="32"/>
        </w:rPr>
        <w:t>给出一组相关的词，要求通过观察分析，在备选答案中找出一组与之在逻辑关系上最为贴近或相似的词。</w:t>
      </w:r>
    </w:p>
    <w:p w14:paraId="2A1E20F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：设计</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发放</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问卷</w:t>
      </w:r>
    </w:p>
    <w:p w14:paraId="60E2931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．复制</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修改</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文字</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．预习</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复习</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考试</w:t>
      </w:r>
    </w:p>
    <w:p w14:paraId="6F32D05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．播放</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快进</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 xml:space="preserve">磁带 </w:t>
      </w:r>
      <w:r w:rsidRPr="003A19FB">
        <w:rPr>
          <w:rFonts w:ascii="楷体_GB2312" w:eastAsia="楷体_GB2312"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 xml:space="preserve"> </w:t>
      </w:r>
      <w:r w:rsidRPr="003A19FB">
        <w:rPr>
          <w:rFonts w:ascii="楷体_GB2312" w:eastAsia="楷体_GB2312" w:hAnsi="微软雅黑" w:cs="宋体" w:hint="eastAsia"/>
          <w:color w:val="333333"/>
          <w:kern w:val="0"/>
          <w:sz w:val="32"/>
          <w:szCs w:val="32"/>
        </w:rPr>
        <w:t>   </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．制定</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执行</w:t>
      </w:r>
      <w:r w:rsidRPr="003A19FB">
        <w:rPr>
          <w:rFonts w:ascii="宋体" w:eastAsia="宋体" w:hAnsi="宋体" w:cs="宋体" w:hint="eastAsia"/>
          <w:color w:val="333333"/>
          <w:kern w:val="0"/>
          <w:sz w:val="32"/>
          <w:szCs w:val="32"/>
        </w:rPr>
        <w:t>︰</w:t>
      </w:r>
      <w:r w:rsidRPr="003A19FB">
        <w:rPr>
          <w:rFonts w:ascii="楷体_GB2312" w:eastAsia="楷体_GB2312" w:hAnsi="微软雅黑" w:cs="宋体" w:hint="eastAsia"/>
          <w:color w:val="333333"/>
          <w:kern w:val="0"/>
          <w:sz w:val="32"/>
          <w:szCs w:val="32"/>
        </w:rPr>
        <w:t>政策</w:t>
      </w:r>
    </w:p>
    <w:p w14:paraId="0B70AAA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lastRenderedPageBreak/>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。“设计”和“发放”是问卷实施过程中必然经历的两个步骤，顺序是先设计，后发放。</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选项，“制定”“执行”是政策实行过程中必然经历的两个步骤，并且制定在前，执行在后，与题干逻辑关系一致，</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选项中的词语不具备题干中的逻辑关系。因此，正确答案为</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7C4E74F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：自然声源</w:t>
      </w:r>
      <w:r w:rsidRPr="003A19FB">
        <w:rPr>
          <w:rFonts w:ascii="微软雅黑" w:eastAsia="微软雅黑" w:hAnsi="微软雅黑" w:cs="宋体" w:hint="eastAsia"/>
          <w:color w:val="333333"/>
          <w:kern w:val="0"/>
          <w:sz w:val="18"/>
          <w:szCs w:val="18"/>
        </w:rPr>
        <w:t> </w:t>
      </w:r>
      <w:r w:rsidRPr="003A19FB">
        <w:rPr>
          <w:rFonts w:ascii="楷体_GB2312" w:eastAsia="楷体_GB2312" w:hAnsi="微软雅黑" w:cs="宋体" w:hint="eastAsia"/>
          <w:color w:val="333333"/>
          <w:kern w:val="0"/>
          <w:sz w:val="32"/>
          <w:szCs w:val="32"/>
        </w:rPr>
        <w:t>对于（</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）相当于（</w:t>
      </w:r>
      <w:r w:rsidRPr="003A19FB">
        <w:rPr>
          <w:rFonts w:ascii="微软雅黑" w:eastAsia="微软雅黑" w:hAnsi="微软雅黑" w:cs="宋体" w:hint="eastAsia"/>
          <w:color w:val="333333"/>
          <w:kern w:val="0"/>
          <w:sz w:val="32"/>
          <w:szCs w:val="32"/>
        </w:rPr>
        <w:t>    </w:t>
      </w:r>
      <w:r w:rsidRPr="003A19FB">
        <w:rPr>
          <w:rFonts w:ascii="楷体_GB2312" w:eastAsia="楷体_GB2312" w:hAnsi="微软雅黑" w:cs="宋体" w:hint="eastAsia"/>
          <w:color w:val="333333"/>
          <w:kern w:val="0"/>
          <w:sz w:val="32"/>
          <w:szCs w:val="32"/>
        </w:rPr>
        <w:t>）对于</w:t>
      </w:r>
      <w:r w:rsidRPr="003A19FB">
        <w:rPr>
          <w:rFonts w:ascii="微软雅黑" w:eastAsia="微软雅黑" w:hAnsi="微软雅黑" w:cs="宋体" w:hint="eastAsia"/>
          <w:color w:val="333333"/>
          <w:kern w:val="0"/>
          <w:sz w:val="18"/>
          <w:szCs w:val="18"/>
        </w:rPr>
        <w:t> </w:t>
      </w:r>
      <w:r w:rsidRPr="003A19FB">
        <w:rPr>
          <w:rFonts w:ascii="楷体_GB2312" w:eastAsia="楷体_GB2312" w:hAnsi="微软雅黑" w:cs="宋体" w:hint="eastAsia"/>
          <w:color w:val="333333"/>
          <w:kern w:val="0"/>
          <w:sz w:val="32"/>
          <w:szCs w:val="32"/>
        </w:rPr>
        <w:t>煤炭</w:t>
      </w:r>
    </w:p>
    <w:p w14:paraId="68EB2F4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．人工声源；植物遗骸</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．燕语莺声；矿石燃料</w:t>
      </w:r>
    </w:p>
    <w:p w14:paraId="2182A71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．传播介质；社区供暖</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．物体振动；地质危害</w:t>
      </w:r>
    </w:p>
    <w:p w14:paraId="2C5007F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选项自然声源和人工声源是并列关系，煤炭由植物遗骸形成，逻辑关系不一致；</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选项自然声源和燕语莺声是包含关系，矿石燃料和煤炭是包含关系，逻辑关系相符；</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选项自然声源需要传播介质，但社区供暖不一定需要煤炭，逻辑关系不一致；</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选项自然声源由物体振动引起，与煤炭和地质危害的逻辑关系不一致。因此，正确答案为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154DC7C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：一望无垠∶辽阔</w:t>
      </w:r>
    </w:p>
    <w:p w14:paraId="63F5D03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．人云亦云∶重复</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．耳提面命∶教导</w:t>
      </w:r>
    </w:p>
    <w:p w14:paraId="6842C82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．方兴未艾∶失败</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．厉兵秣马∶战斗</w:t>
      </w:r>
    </w:p>
    <w:p w14:paraId="6505035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lastRenderedPageBreak/>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。题干两词为同义关系，一望无垠是指辽阔，看不到边际。</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项人云亦云是指没主见。</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项耳提面命形容教诲恳切、要求严格，与教导同义。</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项方兴未艾是正在发展的意思，与失败是反义。</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项厉兵秣马是指准备战斗，并不是战斗。因此，正确答案为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0C5D060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逻辑判断：</w:t>
      </w:r>
      <w:r w:rsidRPr="003A19FB">
        <w:rPr>
          <w:rFonts w:ascii="仿宋_GB2312" w:eastAsia="仿宋_GB2312" w:hAnsi="微软雅黑" w:cs="宋体" w:hint="eastAsia"/>
          <w:color w:val="333333"/>
          <w:kern w:val="0"/>
          <w:sz w:val="32"/>
          <w:szCs w:val="32"/>
        </w:rPr>
        <w:t>每道题给出一段陈述，这段陈述被假设是正确的，不容置疑的。要求报考者根据这段陈述，运用一定的逻辑推论，选择一个最恰当的答案。</w:t>
      </w:r>
    </w:p>
    <w:p w14:paraId="67BD1EF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：一切生命有机体都需要新陈代谢，否则生命就会停止。文明也是一样，如果长期自我封闭，必将走向衰落。交流互鉴是文明发展的本质要求。只有同其他文明交流互鉴、取长补短，才能保持旺盛生命活力。</w:t>
      </w:r>
    </w:p>
    <w:p w14:paraId="5D59130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由此可以推出：</w:t>
      </w:r>
    </w:p>
    <w:p w14:paraId="3D3C3A67"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．一种文明如果没有长期自我封闭，就不会走向衰落</w:t>
      </w:r>
    </w:p>
    <w:p w14:paraId="4A995E1B"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．一种文明如果同其他文明交流互鉴、取长补短，就能保持旺盛生命活力</w:t>
      </w:r>
    </w:p>
    <w:p w14:paraId="78BBFFBB"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．一种文明如果没有同其他文明交流互鉴，就不能保持旺盛生命活力</w:t>
      </w:r>
    </w:p>
    <w:p w14:paraId="5F4EA58A"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lastRenderedPageBreak/>
        <w:t>D</w:t>
      </w:r>
      <w:r w:rsidRPr="003A19FB">
        <w:rPr>
          <w:rFonts w:ascii="楷体_GB2312" w:eastAsia="楷体_GB2312" w:hAnsi="微软雅黑" w:cs="宋体" w:hint="eastAsia"/>
          <w:color w:val="333333"/>
          <w:kern w:val="0"/>
          <w:sz w:val="32"/>
          <w:szCs w:val="32"/>
        </w:rPr>
        <w:t>．一种文明如果没有保持旺盛生命活力，它就没有同其他文明取长补短</w:t>
      </w:r>
    </w:p>
    <w:p w14:paraId="67317BAB"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选项将题干中的条件前后件均加否定，不能推出；</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选项将题干中的“只有…才…”转换为“如果…就…”，不能推出；</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选项是对题干最后一句话的同义表述，可以推出；</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选项将题干最后一句话的前后件对调，不能推出。因此，正确答案为</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p>
    <w:p w14:paraId="7062357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：一项研究中，研究者观察了近</w:t>
      </w:r>
      <w:r w:rsidRPr="003A19FB">
        <w:rPr>
          <w:rFonts w:ascii="微软雅黑" w:eastAsia="微软雅黑" w:hAnsi="微软雅黑" w:cs="宋体" w:hint="eastAsia"/>
          <w:color w:val="333333"/>
          <w:kern w:val="0"/>
          <w:sz w:val="32"/>
          <w:szCs w:val="32"/>
        </w:rPr>
        <w:t>300</w:t>
      </w:r>
      <w:r w:rsidRPr="003A19FB">
        <w:rPr>
          <w:rFonts w:ascii="楷体_GB2312" w:eastAsia="楷体_GB2312" w:hAnsi="微软雅黑" w:cs="宋体" w:hint="eastAsia"/>
          <w:color w:val="333333"/>
          <w:kern w:val="0"/>
          <w:sz w:val="32"/>
          <w:szCs w:val="32"/>
        </w:rPr>
        <w:t>名</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14:paraId="02AA417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以下哪项如果为真，最能支持上述结论？</w:t>
      </w:r>
    </w:p>
    <w:p w14:paraId="589D67D6"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．长时间坐着听课会增加身体对脊柱的压力，不利于学生的身体健康</w:t>
      </w:r>
    </w:p>
    <w:p w14:paraId="29A56A24"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．即使是站立听课，也有个别学生会来回走动，影响课堂秩序，让他人分心</w:t>
      </w:r>
    </w:p>
    <w:p w14:paraId="49E5B90D"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lastRenderedPageBreak/>
        <w:t>C</w:t>
      </w:r>
      <w:r w:rsidRPr="003A19FB">
        <w:rPr>
          <w:rFonts w:ascii="楷体_GB2312" w:eastAsia="楷体_GB2312" w:hAnsi="微软雅黑" w:cs="宋体" w:hint="eastAsia"/>
          <w:color w:val="333333"/>
          <w:kern w:val="0"/>
          <w:sz w:val="32"/>
          <w:szCs w:val="32"/>
        </w:rPr>
        <w:t>．许多性格活泼的学生更喜欢站立听课，专注力更好，而内向的学生则愿意坐着听课，觉得更利于提高注意力</w:t>
      </w:r>
    </w:p>
    <w:p w14:paraId="0CF8F6A0" w14:textId="77777777" w:rsidR="003A19FB" w:rsidRPr="003A19FB" w:rsidRDefault="003A19FB" w:rsidP="003A19FB">
      <w:pPr>
        <w:widowControl/>
        <w:shd w:val="clear" w:color="auto" w:fill="FFFFFF"/>
        <w:spacing w:before="100" w:beforeAutospacing="1" w:after="100" w:afterAutospacing="1" w:line="555" w:lineRule="atLeast"/>
        <w:ind w:left="118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．站立需要大脑平衡身体、控制轻微肌肉收缩，这些适度的压力会使人的注意力更加集中</w:t>
      </w:r>
    </w:p>
    <w:p w14:paraId="461A15D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。结论是站立听课的学生比坐着的学生更加专注。</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项说明坐着听讲不利于健康，没有提到专注力，与结论无关；</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项说站立听课会来回走动，影响他人听讲，对结论有一定程度的质疑；</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项说性格活泼的孩子愿意站立听课，而内向的喜欢坐着听课，与结论无关；</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项说为什么站立听课能带来专注力的提升，阐明了原理，支持了结论。因此，正确答案为</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71C5B2E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：根据所给材料，回答（</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）题。</w:t>
      </w:r>
    </w:p>
    <w:p w14:paraId="486D05C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某超市从前到后整齐排列着</w:t>
      </w:r>
      <w:r w:rsidRPr="003A19FB">
        <w:rPr>
          <w:rFonts w:ascii="微软雅黑" w:eastAsia="微软雅黑" w:hAnsi="微软雅黑" w:cs="宋体" w:hint="eastAsia"/>
          <w:color w:val="333333"/>
          <w:kern w:val="0"/>
          <w:sz w:val="32"/>
          <w:szCs w:val="32"/>
        </w:rPr>
        <w:t>7</w:t>
      </w:r>
      <w:r w:rsidRPr="003A19FB">
        <w:rPr>
          <w:rFonts w:ascii="楷体_GB2312" w:eastAsia="楷体_GB2312" w:hAnsi="微软雅黑" w:cs="宋体" w:hint="eastAsia"/>
          <w:color w:val="333333"/>
          <w:kern w:val="0"/>
          <w:sz w:val="32"/>
          <w:szCs w:val="32"/>
        </w:rPr>
        <w:t>排货架，放置着文具、零食、调料、日用品、酒、粮油和饮料</w:t>
      </w:r>
      <w:r w:rsidRPr="003A19FB">
        <w:rPr>
          <w:rFonts w:ascii="微软雅黑" w:eastAsia="微软雅黑" w:hAnsi="微软雅黑" w:cs="宋体" w:hint="eastAsia"/>
          <w:color w:val="333333"/>
          <w:kern w:val="0"/>
          <w:sz w:val="32"/>
          <w:szCs w:val="32"/>
        </w:rPr>
        <w:t>7</w:t>
      </w:r>
      <w:r w:rsidRPr="003A19FB">
        <w:rPr>
          <w:rFonts w:ascii="楷体_GB2312" w:eastAsia="楷体_GB2312" w:hAnsi="微软雅黑" w:cs="宋体" w:hint="eastAsia"/>
          <w:color w:val="333333"/>
          <w:kern w:val="0"/>
          <w:sz w:val="32"/>
          <w:szCs w:val="32"/>
        </w:rPr>
        <w:t>类商品，每类商品占据一排。已知：</w:t>
      </w:r>
    </w:p>
    <w:p w14:paraId="1984B18A" w14:textId="77777777" w:rsidR="003A19FB" w:rsidRPr="003A19FB" w:rsidRDefault="003A19FB" w:rsidP="003A19FB">
      <w:pPr>
        <w:widowControl/>
        <w:shd w:val="clear" w:color="auto" w:fill="FFFFFF"/>
        <w:spacing w:before="100" w:beforeAutospacing="1" w:after="100" w:afterAutospacing="1" w:line="555" w:lineRule="atLeast"/>
        <w:ind w:firstLine="67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①</w:t>
      </w:r>
      <w:r w:rsidRPr="003A19FB">
        <w:rPr>
          <w:rFonts w:ascii="楷体_GB2312" w:eastAsia="楷体_GB2312" w:hAnsi="微软雅黑" w:cs="宋体" w:hint="eastAsia"/>
          <w:color w:val="333333"/>
          <w:kern w:val="0"/>
          <w:sz w:val="32"/>
          <w:szCs w:val="32"/>
        </w:rPr>
        <w:t>酒类排在调料类之前；</w:t>
      </w:r>
    </w:p>
    <w:p w14:paraId="129BBEB9" w14:textId="77777777" w:rsidR="003A19FB" w:rsidRPr="003A19FB" w:rsidRDefault="003A19FB" w:rsidP="003A19FB">
      <w:pPr>
        <w:widowControl/>
        <w:shd w:val="clear" w:color="auto" w:fill="FFFFFF"/>
        <w:spacing w:before="100" w:beforeAutospacing="1" w:after="100" w:afterAutospacing="1" w:line="555" w:lineRule="atLeast"/>
        <w:ind w:firstLine="675"/>
        <w:rPr>
          <w:rFonts w:ascii="微软雅黑" w:eastAsia="微软雅黑" w:hAnsi="微软雅黑" w:cs="宋体" w:hint="eastAsia"/>
          <w:color w:val="333333"/>
          <w:kern w:val="0"/>
          <w:sz w:val="18"/>
          <w:szCs w:val="18"/>
        </w:rPr>
      </w:pPr>
      <w:r w:rsidRPr="003A19FB">
        <w:rPr>
          <w:rFonts w:ascii="汉仪书宋二S" w:eastAsia="汉仪书宋二S" w:hAnsi="微软雅黑" w:cs="宋体" w:hint="eastAsia"/>
          <w:color w:val="333333"/>
          <w:kern w:val="0"/>
          <w:sz w:val="32"/>
          <w:szCs w:val="32"/>
        </w:rPr>
        <w:t>②</w:t>
      </w:r>
      <w:r w:rsidRPr="003A19FB">
        <w:rPr>
          <w:rFonts w:ascii="楷体_GB2312" w:eastAsia="楷体_GB2312" w:hAnsi="微软雅黑" w:cs="宋体" w:hint="eastAsia"/>
          <w:color w:val="333333"/>
          <w:kern w:val="0"/>
          <w:sz w:val="32"/>
          <w:szCs w:val="32"/>
        </w:rPr>
        <w:t>文具类和调料类中间隔着</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排；</w:t>
      </w:r>
    </w:p>
    <w:p w14:paraId="7BF06C89" w14:textId="77777777" w:rsidR="003A19FB" w:rsidRPr="003A19FB" w:rsidRDefault="003A19FB" w:rsidP="003A19FB">
      <w:pPr>
        <w:widowControl/>
        <w:shd w:val="clear" w:color="auto" w:fill="FFFFFF"/>
        <w:spacing w:before="100" w:beforeAutospacing="1" w:after="100" w:afterAutospacing="1" w:line="555" w:lineRule="atLeast"/>
        <w:ind w:firstLine="675"/>
        <w:rPr>
          <w:rFonts w:ascii="微软雅黑" w:eastAsia="微软雅黑" w:hAnsi="微软雅黑" w:cs="宋体" w:hint="eastAsia"/>
          <w:color w:val="333333"/>
          <w:kern w:val="0"/>
          <w:sz w:val="18"/>
          <w:szCs w:val="18"/>
        </w:rPr>
      </w:pPr>
      <w:r w:rsidRPr="003A19FB">
        <w:rPr>
          <w:rFonts w:ascii="汉仪书宋二S" w:eastAsia="汉仪书宋二S" w:hAnsi="微软雅黑" w:cs="宋体" w:hint="eastAsia"/>
          <w:color w:val="333333"/>
          <w:kern w:val="0"/>
          <w:sz w:val="32"/>
          <w:szCs w:val="32"/>
        </w:rPr>
        <w:t>③</w:t>
      </w:r>
      <w:r w:rsidRPr="003A19FB">
        <w:rPr>
          <w:rFonts w:ascii="楷体_GB2312" w:eastAsia="楷体_GB2312" w:hAnsi="微软雅黑" w:cs="宋体" w:hint="eastAsia"/>
          <w:color w:val="333333"/>
          <w:kern w:val="0"/>
          <w:sz w:val="32"/>
          <w:szCs w:val="32"/>
        </w:rPr>
        <w:t>粮油类在零食类之后，中间隔着</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排；</w:t>
      </w:r>
    </w:p>
    <w:p w14:paraId="5180BFDA" w14:textId="77777777" w:rsidR="003A19FB" w:rsidRPr="003A19FB" w:rsidRDefault="003A19FB" w:rsidP="003A19FB">
      <w:pPr>
        <w:widowControl/>
        <w:shd w:val="clear" w:color="auto" w:fill="FFFFFF"/>
        <w:spacing w:before="100" w:beforeAutospacing="1" w:after="100" w:afterAutospacing="1" w:line="555" w:lineRule="atLeast"/>
        <w:ind w:firstLine="675"/>
        <w:rPr>
          <w:rFonts w:ascii="微软雅黑" w:eastAsia="微软雅黑" w:hAnsi="微软雅黑" w:cs="宋体" w:hint="eastAsia"/>
          <w:color w:val="333333"/>
          <w:kern w:val="0"/>
          <w:sz w:val="18"/>
          <w:szCs w:val="18"/>
        </w:rPr>
      </w:pPr>
      <w:r w:rsidRPr="003A19FB">
        <w:rPr>
          <w:rFonts w:ascii="汉仪书宋二S" w:eastAsia="汉仪书宋二S" w:hAnsi="微软雅黑" w:cs="宋体" w:hint="eastAsia"/>
          <w:color w:val="333333"/>
          <w:kern w:val="0"/>
          <w:sz w:val="32"/>
          <w:szCs w:val="32"/>
        </w:rPr>
        <w:lastRenderedPageBreak/>
        <w:t>④</w:t>
      </w:r>
      <w:r w:rsidRPr="003A19FB">
        <w:rPr>
          <w:rFonts w:ascii="楷体_GB2312" w:eastAsia="楷体_GB2312" w:hAnsi="微软雅黑" w:cs="宋体" w:hint="eastAsia"/>
          <w:color w:val="333333"/>
          <w:kern w:val="0"/>
          <w:sz w:val="32"/>
          <w:szCs w:val="32"/>
        </w:rPr>
        <w:t>日用品类紧挨在文具类前一排或者后一排。</w:t>
      </w:r>
    </w:p>
    <w:p w14:paraId="534CE03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）下列各项中，哪一类商品不可能排在第一排？</w:t>
      </w:r>
    </w:p>
    <w:p w14:paraId="4743806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．文具类</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．粮油类</w:t>
      </w:r>
    </w:p>
    <w:p w14:paraId="03A15C5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．酒类</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．日用品类</w:t>
      </w:r>
    </w:p>
    <w:p w14:paraId="605F36B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w:t>
      </w:r>
    </w:p>
    <w:p w14:paraId="3FC1DEA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）按照从前到后，下列哪项排列是可能的？</w:t>
      </w:r>
    </w:p>
    <w:p w14:paraId="0B88331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．文具类、零食类、日用品类、酒类、调料类、粮油类、饮料类</w:t>
      </w:r>
    </w:p>
    <w:p w14:paraId="031BF11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．零食类、文具类、日用品类、粮油类、饮料类、调料类、酒类</w:t>
      </w:r>
    </w:p>
    <w:p w14:paraId="61FBBD2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．日用品类、文具类、零食类、酒类、粮油类、调料类、饮料类</w:t>
      </w:r>
    </w:p>
    <w:p w14:paraId="1193EF1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．日用品类、文具类、酒类、零食类、饮料类、调料类、粮油类</w:t>
      </w:r>
    </w:p>
    <w:p w14:paraId="7348FEA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525D512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）零食类和文具类中间最多可能隔几排？</w:t>
      </w:r>
    </w:p>
    <w:p w14:paraId="61006B1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排</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排</w:t>
      </w:r>
    </w:p>
    <w:p w14:paraId="6819243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lastRenderedPageBreak/>
        <w:t>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排</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排</w:t>
      </w:r>
    </w:p>
    <w:p w14:paraId="278F9AD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4B34E94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）如果零食类排在第</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排，那么下列哪项中的两类商品不可能是相邻的两排？</w:t>
      </w:r>
    </w:p>
    <w:p w14:paraId="47E700B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．文具类和粮油类</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．零食类和文具类</w:t>
      </w:r>
    </w:p>
    <w:p w14:paraId="04137335"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．日用品类和酒类</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．零食类和日用品类</w:t>
      </w:r>
    </w:p>
    <w:p w14:paraId="79375BF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p>
    <w:p w14:paraId="5BD111C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）如果饮料类排在第</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排，则以下哪项是可能的？</w:t>
      </w:r>
    </w:p>
    <w:p w14:paraId="7EA354A8"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．零食类排在文具类前一排</w:t>
      </w:r>
    </w:p>
    <w:p w14:paraId="5AF3A3A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．粮油类排在调料类前一排</w:t>
      </w:r>
    </w:p>
    <w:p w14:paraId="4FDAD40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．日用品类排在文具类前一排</w:t>
      </w:r>
    </w:p>
    <w:p w14:paraId="1904E28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．酒类排在文具类前一排</w:t>
      </w:r>
    </w:p>
    <w:p w14:paraId="6B72B0D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29F77F4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（五）资料分析。</w:t>
      </w:r>
      <w:r w:rsidRPr="003A19FB">
        <w:rPr>
          <w:rFonts w:ascii="仿宋_GB2312" w:eastAsia="仿宋_GB2312" w:hAnsi="微软雅黑" w:cs="宋体" w:hint="eastAsia"/>
          <w:color w:val="333333"/>
          <w:kern w:val="0"/>
          <w:sz w:val="32"/>
          <w:szCs w:val="32"/>
        </w:rPr>
        <w:t>主要测查报考者对文字、数字、图表等统计性资料的综合理解与分析加工能力。</w:t>
      </w:r>
    </w:p>
    <w:p w14:paraId="16DB7A3A"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例题：根据所给材料，回答（</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）题。</w:t>
      </w:r>
    </w:p>
    <w:tbl>
      <w:tblPr>
        <w:tblW w:w="12615" w:type="dxa"/>
        <w:tblCellSpacing w:w="15" w:type="dxa"/>
        <w:tblCellMar>
          <w:top w:w="15" w:type="dxa"/>
          <w:left w:w="15" w:type="dxa"/>
          <w:bottom w:w="15" w:type="dxa"/>
          <w:right w:w="15" w:type="dxa"/>
        </w:tblCellMar>
        <w:tblLook w:val="04A0" w:firstRow="1" w:lastRow="0" w:firstColumn="1" w:lastColumn="0" w:noHBand="0" w:noVBand="1"/>
      </w:tblPr>
      <w:tblGrid>
        <w:gridCol w:w="4725"/>
        <w:gridCol w:w="1400"/>
        <w:gridCol w:w="1285"/>
        <w:gridCol w:w="1409"/>
        <w:gridCol w:w="1198"/>
        <w:gridCol w:w="1371"/>
        <w:gridCol w:w="977"/>
        <w:gridCol w:w="250"/>
      </w:tblGrid>
      <w:tr w:rsidR="003A19FB" w:rsidRPr="003A19FB" w14:paraId="05409865" w14:textId="77777777" w:rsidTr="003A19FB">
        <w:trPr>
          <w:trHeight w:val="38"/>
          <w:tblCellSpacing w:w="15" w:type="dxa"/>
        </w:trPr>
        <w:tc>
          <w:tcPr>
            <w:tcW w:w="8925" w:type="dxa"/>
            <w:gridSpan w:val="7"/>
            <w:tcBorders>
              <w:top w:val="nil"/>
              <w:left w:val="nil"/>
              <w:bottom w:val="single" w:sz="6" w:space="0" w:color="auto"/>
              <w:right w:val="nil"/>
            </w:tcBorders>
            <w:tcMar>
              <w:top w:w="0" w:type="dxa"/>
              <w:left w:w="105" w:type="dxa"/>
              <w:bottom w:w="0" w:type="dxa"/>
              <w:right w:w="105" w:type="dxa"/>
            </w:tcMar>
            <w:vAlign w:val="center"/>
            <w:hideMark/>
          </w:tcPr>
          <w:p w14:paraId="7CECC0F5" w14:textId="77777777" w:rsidR="003A19FB" w:rsidRPr="003A19FB" w:rsidRDefault="003A19FB" w:rsidP="003A19FB">
            <w:pPr>
              <w:widowControl/>
              <w:spacing w:before="100" w:beforeAutospacing="1" w:after="100" w:afterAutospacing="1" w:line="540" w:lineRule="atLeast"/>
              <w:rPr>
                <w:rFonts w:ascii="宋体" w:eastAsia="宋体" w:hAnsi="宋体" w:cs="宋体" w:hint="eastAsia"/>
                <w:kern w:val="0"/>
                <w:sz w:val="24"/>
                <w:szCs w:val="24"/>
              </w:rPr>
            </w:pPr>
            <w:r w:rsidRPr="003A19FB">
              <w:rPr>
                <w:rFonts w:ascii="宋体" w:eastAsia="宋体" w:hAnsi="宋体" w:cs="宋体"/>
                <w:kern w:val="0"/>
                <w:sz w:val="32"/>
                <w:szCs w:val="32"/>
              </w:rPr>
              <w:lastRenderedPageBreak/>
              <w:t>2020</w:t>
            </w:r>
            <w:r w:rsidRPr="003A19FB">
              <w:rPr>
                <w:rFonts w:ascii="楷体_GB2312" w:eastAsia="楷体_GB2312" w:hAnsi="宋体" w:cs="宋体" w:hint="eastAsia"/>
                <w:kern w:val="0"/>
                <w:sz w:val="32"/>
                <w:szCs w:val="32"/>
              </w:rPr>
              <w:t>年</w:t>
            </w:r>
            <w:r w:rsidRPr="003A19FB">
              <w:rPr>
                <w:rFonts w:ascii="宋体" w:eastAsia="宋体" w:hAnsi="宋体" w:cs="宋体"/>
                <w:kern w:val="0"/>
                <w:sz w:val="32"/>
                <w:szCs w:val="32"/>
              </w:rPr>
              <w:t>H</w:t>
            </w:r>
            <w:r w:rsidRPr="003A19FB">
              <w:rPr>
                <w:rFonts w:ascii="楷体_GB2312" w:eastAsia="楷体_GB2312" w:hAnsi="宋体" w:cs="宋体" w:hint="eastAsia"/>
                <w:kern w:val="0"/>
                <w:sz w:val="32"/>
                <w:szCs w:val="32"/>
              </w:rPr>
              <w:t>省秋粮平均生产成本及同比增速</w:t>
            </w:r>
          </w:p>
          <w:p w14:paraId="21B3788F"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单位：元</w:t>
            </w:r>
            <w:r w:rsidRPr="003A19FB">
              <w:rPr>
                <w:rFonts w:ascii="宋体" w:eastAsia="宋体" w:hAnsi="宋体" w:cs="宋体"/>
                <w:kern w:val="0"/>
                <w:sz w:val="32"/>
                <w:szCs w:val="32"/>
              </w:rPr>
              <w:t>/</w:t>
            </w:r>
            <w:r w:rsidRPr="003A19FB">
              <w:rPr>
                <w:rFonts w:ascii="楷体_GB2312" w:eastAsia="楷体_GB2312" w:hAnsi="宋体" w:cs="宋体" w:hint="eastAsia"/>
                <w:kern w:val="0"/>
                <w:sz w:val="32"/>
                <w:szCs w:val="32"/>
              </w:rPr>
              <w:t>亩（成本）、</w:t>
            </w:r>
            <w:r w:rsidRPr="003A19FB">
              <w:rPr>
                <w:rFonts w:ascii="宋体" w:eastAsia="宋体" w:hAnsi="宋体" w:cs="宋体"/>
                <w:kern w:val="0"/>
                <w:sz w:val="32"/>
                <w:szCs w:val="32"/>
              </w:rPr>
              <w:t>%</w:t>
            </w:r>
            <w:r w:rsidRPr="003A19FB">
              <w:rPr>
                <w:rFonts w:ascii="楷体_GB2312" w:eastAsia="楷体_GB2312" w:hAnsi="宋体" w:cs="宋体" w:hint="eastAsia"/>
                <w:kern w:val="0"/>
                <w:sz w:val="32"/>
                <w:szCs w:val="32"/>
              </w:rPr>
              <w:t>（增速）</w:t>
            </w:r>
          </w:p>
        </w:tc>
        <w:tc>
          <w:tcPr>
            <w:tcW w:w="225" w:type="dxa"/>
            <w:tcBorders>
              <w:top w:val="nil"/>
              <w:left w:val="nil"/>
              <w:bottom w:val="nil"/>
              <w:right w:val="nil"/>
            </w:tcBorders>
            <w:tcMar>
              <w:top w:w="0" w:type="dxa"/>
              <w:left w:w="0" w:type="dxa"/>
              <w:bottom w:w="0" w:type="dxa"/>
              <w:right w:w="0" w:type="dxa"/>
            </w:tcMar>
            <w:vAlign w:val="center"/>
            <w:hideMark/>
          </w:tcPr>
          <w:p w14:paraId="7D24BBAB" w14:textId="77777777" w:rsidR="003A19FB" w:rsidRPr="003A19FB" w:rsidRDefault="003A19FB" w:rsidP="003A19FB">
            <w:pPr>
              <w:widowControl/>
              <w:jc w:val="left"/>
              <w:rPr>
                <w:rFonts w:ascii="宋体" w:eastAsia="宋体" w:hAnsi="宋体" w:cs="宋体"/>
                <w:kern w:val="0"/>
                <w:sz w:val="24"/>
                <w:szCs w:val="24"/>
              </w:rPr>
            </w:pPr>
          </w:p>
        </w:tc>
      </w:tr>
      <w:tr w:rsidR="003A19FB" w:rsidRPr="003A19FB" w14:paraId="6199821B" w14:textId="77777777" w:rsidTr="003A19FB">
        <w:trPr>
          <w:trHeight w:val="38"/>
          <w:tblCellSpacing w:w="15" w:type="dxa"/>
        </w:trPr>
        <w:tc>
          <w:tcPr>
            <w:tcW w:w="32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1A23052E" w14:textId="77777777" w:rsidR="003A19FB" w:rsidRPr="003A19FB" w:rsidRDefault="003A19FB" w:rsidP="003A19FB">
            <w:pPr>
              <w:widowControl/>
              <w:jc w:val="left"/>
              <w:rPr>
                <w:rFonts w:ascii="宋体" w:eastAsia="宋体" w:hAnsi="宋体" w:cs="宋体"/>
                <w:kern w:val="0"/>
                <w:sz w:val="24"/>
                <w:szCs w:val="24"/>
              </w:rPr>
            </w:pPr>
          </w:p>
        </w:tc>
        <w:tc>
          <w:tcPr>
            <w:tcW w:w="2010" w:type="dxa"/>
            <w:gridSpan w:val="2"/>
            <w:vMerge w:val="restart"/>
            <w:tcBorders>
              <w:top w:val="nil"/>
              <w:left w:val="nil"/>
              <w:bottom w:val="single" w:sz="6" w:space="0" w:color="auto"/>
              <w:right w:val="nil"/>
            </w:tcBorders>
            <w:tcMar>
              <w:top w:w="0" w:type="dxa"/>
              <w:left w:w="105" w:type="dxa"/>
              <w:bottom w:w="0" w:type="dxa"/>
              <w:right w:w="105" w:type="dxa"/>
            </w:tcMar>
            <w:vAlign w:val="center"/>
            <w:hideMark/>
          </w:tcPr>
          <w:p w14:paraId="4C8A68D0"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秋粮</w:t>
            </w:r>
          </w:p>
        </w:tc>
        <w:tc>
          <w:tcPr>
            <w:tcW w:w="3825" w:type="dxa"/>
            <w:gridSpan w:val="5"/>
            <w:tcBorders>
              <w:top w:val="nil"/>
              <w:left w:val="nil"/>
              <w:bottom w:val="single" w:sz="6" w:space="0" w:color="auto"/>
              <w:right w:val="nil"/>
            </w:tcBorders>
            <w:tcMar>
              <w:top w:w="0" w:type="dxa"/>
              <w:left w:w="105" w:type="dxa"/>
              <w:bottom w:w="0" w:type="dxa"/>
              <w:right w:w="105" w:type="dxa"/>
            </w:tcMar>
            <w:vAlign w:val="center"/>
            <w:hideMark/>
          </w:tcPr>
          <w:p w14:paraId="74E3C8C1" w14:textId="77777777" w:rsidR="003A19FB" w:rsidRPr="003A19FB" w:rsidRDefault="003A19FB" w:rsidP="003A19FB">
            <w:pPr>
              <w:widowControl/>
              <w:jc w:val="left"/>
              <w:rPr>
                <w:rFonts w:ascii="宋体" w:eastAsia="宋体" w:hAnsi="宋体" w:cs="宋体"/>
                <w:kern w:val="0"/>
                <w:sz w:val="24"/>
                <w:szCs w:val="24"/>
              </w:rPr>
            </w:pPr>
          </w:p>
        </w:tc>
      </w:tr>
      <w:tr w:rsidR="003A19FB" w:rsidRPr="003A19FB" w14:paraId="28723DBB" w14:textId="77777777" w:rsidTr="003A19FB">
        <w:trPr>
          <w:trHeight w:val="135"/>
          <w:tblCellSpacing w:w="15" w:type="dxa"/>
        </w:trPr>
        <w:tc>
          <w:tcPr>
            <w:tcW w:w="0" w:type="auto"/>
            <w:vMerge/>
            <w:tcBorders>
              <w:top w:val="nil"/>
              <w:left w:val="nil"/>
              <w:bottom w:val="single" w:sz="6" w:space="0" w:color="auto"/>
              <w:right w:val="single" w:sz="6" w:space="0" w:color="auto"/>
            </w:tcBorders>
            <w:vAlign w:val="center"/>
            <w:hideMark/>
          </w:tcPr>
          <w:p w14:paraId="59213886" w14:textId="77777777" w:rsidR="003A19FB" w:rsidRPr="003A19FB" w:rsidRDefault="003A19FB" w:rsidP="003A19FB">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nil"/>
            </w:tcBorders>
            <w:vAlign w:val="center"/>
            <w:hideMark/>
          </w:tcPr>
          <w:p w14:paraId="6A824A0A" w14:textId="77777777" w:rsidR="003A19FB" w:rsidRPr="003A19FB" w:rsidRDefault="003A19FB" w:rsidP="003A19FB">
            <w:pPr>
              <w:widowControl/>
              <w:jc w:val="left"/>
              <w:rPr>
                <w:rFonts w:ascii="宋体" w:eastAsia="宋体" w:hAnsi="宋体" w:cs="宋体"/>
                <w:kern w:val="0"/>
                <w:sz w:val="24"/>
                <w:szCs w:val="24"/>
              </w:rPr>
            </w:pPr>
          </w:p>
        </w:tc>
        <w:tc>
          <w:tcPr>
            <w:tcW w:w="193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35F47E9"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玉米</w:t>
            </w:r>
          </w:p>
        </w:tc>
        <w:tc>
          <w:tcPr>
            <w:tcW w:w="1890" w:type="dxa"/>
            <w:gridSpan w:val="3"/>
            <w:tcBorders>
              <w:top w:val="nil"/>
              <w:left w:val="nil"/>
              <w:bottom w:val="single" w:sz="6" w:space="0" w:color="auto"/>
              <w:right w:val="nil"/>
            </w:tcBorders>
            <w:tcMar>
              <w:top w:w="0" w:type="dxa"/>
              <w:left w:w="105" w:type="dxa"/>
              <w:bottom w:w="0" w:type="dxa"/>
              <w:right w:w="105" w:type="dxa"/>
            </w:tcMar>
            <w:vAlign w:val="center"/>
            <w:hideMark/>
          </w:tcPr>
          <w:p w14:paraId="19568D2A"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稻谷</w:t>
            </w:r>
          </w:p>
        </w:tc>
      </w:tr>
      <w:tr w:rsidR="003A19FB" w:rsidRPr="003A19FB" w14:paraId="7E4D215A" w14:textId="77777777" w:rsidTr="003A19FB">
        <w:trPr>
          <w:trHeight w:val="135"/>
          <w:tblCellSpacing w:w="15" w:type="dxa"/>
        </w:trPr>
        <w:tc>
          <w:tcPr>
            <w:tcW w:w="0" w:type="auto"/>
            <w:vMerge/>
            <w:tcBorders>
              <w:top w:val="nil"/>
              <w:left w:val="nil"/>
              <w:bottom w:val="single" w:sz="6" w:space="0" w:color="auto"/>
              <w:right w:val="single" w:sz="6" w:space="0" w:color="auto"/>
            </w:tcBorders>
            <w:vAlign w:val="center"/>
            <w:hideMark/>
          </w:tcPr>
          <w:p w14:paraId="41B6EE9F" w14:textId="77777777" w:rsidR="003A19FB" w:rsidRPr="003A19FB" w:rsidRDefault="003A19FB" w:rsidP="003A19FB">
            <w:pPr>
              <w:widowControl/>
              <w:jc w:val="left"/>
              <w:rPr>
                <w:rFonts w:ascii="宋体" w:eastAsia="宋体" w:hAnsi="宋体" w:cs="宋体"/>
                <w:kern w:val="0"/>
                <w:sz w:val="24"/>
                <w:szCs w:val="24"/>
              </w:rPr>
            </w:pPr>
          </w:p>
        </w:tc>
        <w:tc>
          <w:tcPr>
            <w:tcW w:w="1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1ED32BD"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成本</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3C0427F"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增速</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1C3C0B4"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成本</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DC48690"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增速</w:t>
            </w:r>
          </w:p>
        </w:tc>
        <w:tc>
          <w:tcPr>
            <w:tcW w:w="1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6B45F7"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成本</w:t>
            </w:r>
          </w:p>
        </w:tc>
        <w:tc>
          <w:tcPr>
            <w:tcW w:w="885" w:type="dxa"/>
            <w:gridSpan w:val="2"/>
            <w:tcBorders>
              <w:top w:val="nil"/>
              <w:left w:val="nil"/>
              <w:bottom w:val="single" w:sz="6" w:space="0" w:color="auto"/>
              <w:right w:val="nil"/>
            </w:tcBorders>
            <w:tcMar>
              <w:top w:w="0" w:type="dxa"/>
              <w:left w:w="105" w:type="dxa"/>
              <w:bottom w:w="0" w:type="dxa"/>
              <w:right w:w="105" w:type="dxa"/>
            </w:tcMar>
            <w:vAlign w:val="center"/>
            <w:hideMark/>
          </w:tcPr>
          <w:p w14:paraId="5967CDC0"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增速</w:t>
            </w:r>
          </w:p>
        </w:tc>
      </w:tr>
      <w:tr w:rsidR="003A19FB" w:rsidRPr="003A19FB" w14:paraId="24B5ACCC" w14:textId="77777777" w:rsidTr="003A19FB">
        <w:trPr>
          <w:trHeight w:val="135"/>
          <w:tblCellSpacing w:w="15" w:type="dxa"/>
        </w:trPr>
        <w:tc>
          <w:tcPr>
            <w:tcW w:w="32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0057B65"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生产成本</w:t>
            </w:r>
          </w:p>
        </w:tc>
        <w:tc>
          <w:tcPr>
            <w:tcW w:w="1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D5BBBB8"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440.6</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33D3638"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-2.1</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E55DAE9"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430.5</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EBBEAF1"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-1.9</w:t>
            </w:r>
          </w:p>
        </w:tc>
        <w:tc>
          <w:tcPr>
            <w:tcW w:w="1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A3118A3"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525.7</w:t>
            </w:r>
          </w:p>
        </w:tc>
        <w:tc>
          <w:tcPr>
            <w:tcW w:w="885" w:type="dxa"/>
            <w:gridSpan w:val="2"/>
            <w:tcBorders>
              <w:top w:val="nil"/>
              <w:left w:val="nil"/>
              <w:bottom w:val="single" w:sz="6" w:space="0" w:color="auto"/>
              <w:right w:val="nil"/>
            </w:tcBorders>
            <w:tcMar>
              <w:top w:w="0" w:type="dxa"/>
              <w:left w:w="105" w:type="dxa"/>
              <w:bottom w:w="0" w:type="dxa"/>
              <w:right w:w="105" w:type="dxa"/>
            </w:tcMar>
            <w:vAlign w:val="center"/>
            <w:hideMark/>
          </w:tcPr>
          <w:p w14:paraId="188AED13"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-4.0</w:t>
            </w:r>
          </w:p>
        </w:tc>
      </w:tr>
      <w:tr w:rsidR="003A19FB" w:rsidRPr="003A19FB" w14:paraId="71777C69" w14:textId="77777777" w:rsidTr="003A19FB">
        <w:trPr>
          <w:trHeight w:val="135"/>
          <w:tblCellSpacing w:w="15" w:type="dxa"/>
        </w:trPr>
        <w:tc>
          <w:tcPr>
            <w:tcW w:w="3225" w:type="dxa"/>
            <w:tcBorders>
              <w:top w:val="nil"/>
              <w:left w:val="nil"/>
              <w:bottom w:val="nil"/>
              <w:right w:val="single" w:sz="6" w:space="0" w:color="auto"/>
            </w:tcBorders>
            <w:tcMar>
              <w:top w:w="0" w:type="dxa"/>
              <w:left w:w="105" w:type="dxa"/>
              <w:bottom w:w="0" w:type="dxa"/>
              <w:right w:w="105" w:type="dxa"/>
            </w:tcMar>
            <w:vAlign w:val="center"/>
            <w:hideMark/>
          </w:tcPr>
          <w:p w14:paraId="68B2DF1B"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楷体_GB2312" w:eastAsia="楷体_GB2312" w:hAnsi="宋体" w:cs="宋体" w:hint="eastAsia"/>
                <w:kern w:val="0"/>
                <w:sz w:val="32"/>
                <w:szCs w:val="32"/>
              </w:rPr>
              <w:t>其中：物质费用</w:t>
            </w:r>
          </w:p>
        </w:tc>
        <w:tc>
          <w:tcPr>
            <w:tcW w:w="1035" w:type="dxa"/>
            <w:tcBorders>
              <w:top w:val="nil"/>
              <w:left w:val="nil"/>
              <w:bottom w:val="nil"/>
              <w:right w:val="single" w:sz="6" w:space="0" w:color="auto"/>
            </w:tcBorders>
            <w:tcMar>
              <w:top w:w="0" w:type="dxa"/>
              <w:left w:w="105" w:type="dxa"/>
              <w:bottom w:w="0" w:type="dxa"/>
              <w:right w:w="105" w:type="dxa"/>
            </w:tcMar>
            <w:vAlign w:val="center"/>
            <w:hideMark/>
          </w:tcPr>
          <w:p w14:paraId="3125F636"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203.9</w:t>
            </w:r>
          </w:p>
        </w:tc>
        <w:tc>
          <w:tcPr>
            <w:tcW w:w="975" w:type="dxa"/>
            <w:tcBorders>
              <w:top w:val="nil"/>
              <w:left w:val="nil"/>
              <w:bottom w:val="nil"/>
              <w:right w:val="single" w:sz="6" w:space="0" w:color="auto"/>
            </w:tcBorders>
            <w:tcMar>
              <w:top w:w="0" w:type="dxa"/>
              <w:left w:w="105" w:type="dxa"/>
              <w:bottom w:w="0" w:type="dxa"/>
              <w:right w:w="105" w:type="dxa"/>
            </w:tcMar>
            <w:vAlign w:val="center"/>
            <w:hideMark/>
          </w:tcPr>
          <w:p w14:paraId="18634292"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-0.3</w:t>
            </w:r>
          </w:p>
        </w:tc>
        <w:tc>
          <w:tcPr>
            <w:tcW w:w="1050" w:type="dxa"/>
            <w:tcBorders>
              <w:top w:val="nil"/>
              <w:left w:val="nil"/>
              <w:bottom w:val="nil"/>
              <w:right w:val="single" w:sz="6" w:space="0" w:color="auto"/>
            </w:tcBorders>
            <w:tcMar>
              <w:top w:w="0" w:type="dxa"/>
              <w:left w:w="105" w:type="dxa"/>
              <w:bottom w:w="0" w:type="dxa"/>
              <w:right w:w="105" w:type="dxa"/>
            </w:tcMar>
            <w:vAlign w:val="center"/>
            <w:hideMark/>
          </w:tcPr>
          <w:p w14:paraId="32FDA36C"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205.4</w:t>
            </w:r>
          </w:p>
        </w:tc>
        <w:tc>
          <w:tcPr>
            <w:tcW w:w="885" w:type="dxa"/>
            <w:tcBorders>
              <w:top w:val="nil"/>
              <w:left w:val="nil"/>
              <w:bottom w:val="nil"/>
              <w:right w:val="single" w:sz="6" w:space="0" w:color="auto"/>
            </w:tcBorders>
            <w:tcMar>
              <w:top w:w="0" w:type="dxa"/>
              <w:left w:w="105" w:type="dxa"/>
              <w:bottom w:w="0" w:type="dxa"/>
              <w:right w:w="105" w:type="dxa"/>
            </w:tcMar>
            <w:vAlign w:val="center"/>
            <w:hideMark/>
          </w:tcPr>
          <w:p w14:paraId="47732B8B"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-0.3</w:t>
            </w:r>
          </w:p>
        </w:tc>
        <w:tc>
          <w:tcPr>
            <w:tcW w:w="1005" w:type="dxa"/>
            <w:tcBorders>
              <w:top w:val="nil"/>
              <w:left w:val="nil"/>
              <w:bottom w:val="nil"/>
              <w:right w:val="single" w:sz="6" w:space="0" w:color="auto"/>
            </w:tcBorders>
            <w:tcMar>
              <w:top w:w="0" w:type="dxa"/>
              <w:left w:w="105" w:type="dxa"/>
              <w:bottom w:w="0" w:type="dxa"/>
              <w:right w:w="105" w:type="dxa"/>
            </w:tcMar>
            <w:vAlign w:val="center"/>
            <w:hideMark/>
          </w:tcPr>
          <w:p w14:paraId="285A4E03"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210.6</w:t>
            </w:r>
          </w:p>
        </w:tc>
        <w:tc>
          <w:tcPr>
            <w:tcW w:w="885" w:type="dxa"/>
            <w:gridSpan w:val="2"/>
            <w:tcBorders>
              <w:top w:val="nil"/>
              <w:left w:val="nil"/>
              <w:bottom w:val="nil"/>
              <w:right w:val="nil"/>
            </w:tcBorders>
            <w:tcMar>
              <w:top w:w="0" w:type="dxa"/>
              <w:left w:w="105" w:type="dxa"/>
              <w:bottom w:w="0" w:type="dxa"/>
              <w:right w:w="105" w:type="dxa"/>
            </w:tcMar>
            <w:vAlign w:val="center"/>
            <w:hideMark/>
          </w:tcPr>
          <w:p w14:paraId="2B6F8CC0"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0.4</w:t>
            </w:r>
          </w:p>
        </w:tc>
      </w:tr>
      <w:tr w:rsidR="003A19FB" w:rsidRPr="003A19FB" w14:paraId="539B406A" w14:textId="77777777" w:rsidTr="003A19FB">
        <w:trPr>
          <w:trHeight w:val="135"/>
          <w:tblCellSpacing w:w="15" w:type="dxa"/>
        </w:trPr>
        <w:tc>
          <w:tcPr>
            <w:tcW w:w="3225" w:type="dxa"/>
            <w:tcBorders>
              <w:top w:val="nil"/>
              <w:left w:val="nil"/>
              <w:bottom w:val="nil"/>
              <w:right w:val="single" w:sz="6" w:space="0" w:color="auto"/>
            </w:tcBorders>
            <w:tcMar>
              <w:top w:w="0" w:type="dxa"/>
              <w:left w:w="105" w:type="dxa"/>
              <w:bottom w:w="0" w:type="dxa"/>
              <w:right w:w="105" w:type="dxa"/>
            </w:tcMar>
            <w:vAlign w:val="center"/>
            <w:hideMark/>
          </w:tcPr>
          <w:p w14:paraId="0FECC01C"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      </w:t>
            </w:r>
            <w:r w:rsidRPr="003A19FB">
              <w:rPr>
                <w:rFonts w:ascii="楷体_GB2312" w:eastAsia="楷体_GB2312" w:hAnsi="宋体" w:cs="宋体" w:hint="eastAsia"/>
                <w:kern w:val="0"/>
                <w:sz w:val="32"/>
                <w:szCs w:val="32"/>
              </w:rPr>
              <w:t>其中：种子</w:t>
            </w:r>
          </w:p>
        </w:tc>
        <w:tc>
          <w:tcPr>
            <w:tcW w:w="1035" w:type="dxa"/>
            <w:tcBorders>
              <w:top w:val="nil"/>
              <w:left w:val="nil"/>
              <w:bottom w:val="nil"/>
              <w:right w:val="single" w:sz="6" w:space="0" w:color="auto"/>
            </w:tcBorders>
            <w:tcMar>
              <w:top w:w="0" w:type="dxa"/>
              <w:left w:w="105" w:type="dxa"/>
              <w:bottom w:w="0" w:type="dxa"/>
              <w:right w:w="105" w:type="dxa"/>
            </w:tcMar>
            <w:vAlign w:val="center"/>
            <w:hideMark/>
          </w:tcPr>
          <w:p w14:paraId="08929E4F"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51.3</w:t>
            </w:r>
          </w:p>
        </w:tc>
        <w:tc>
          <w:tcPr>
            <w:tcW w:w="975" w:type="dxa"/>
            <w:tcBorders>
              <w:top w:val="nil"/>
              <w:left w:val="nil"/>
              <w:bottom w:val="nil"/>
              <w:right w:val="single" w:sz="6" w:space="0" w:color="auto"/>
            </w:tcBorders>
            <w:tcMar>
              <w:top w:w="0" w:type="dxa"/>
              <w:left w:w="105" w:type="dxa"/>
              <w:bottom w:w="0" w:type="dxa"/>
              <w:right w:w="105" w:type="dxa"/>
            </w:tcMar>
            <w:vAlign w:val="center"/>
            <w:hideMark/>
          </w:tcPr>
          <w:p w14:paraId="7BCFEFA6"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0.4</w:t>
            </w:r>
          </w:p>
        </w:tc>
        <w:tc>
          <w:tcPr>
            <w:tcW w:w="1050" w:type="dxa"/>
            <w:tcBorders>
              <w:top w:val="nil"/>
              <w:left w:val="nil"/>
              <w:bottom w:val="nil"/>
              <w:right w:val="single" w:sz="6" w:space="0" w:color="auto"/>
            </w:tcBorders>
            <w:tcMar>
              <w:top w:w="0" w:type="dxa"/>
              <w:left w:w="105" w:type="dxa"/>
              <w:bottom w:w="0" w:type="dxa"/>
              <w:right w:w="105" w:type="dxa"/>
            </w:tcMar>
            <w:vAlign w:val="center"/>
            <w:hideMark/>
          </w:tcPr>
          <w:p w14:paraId="7329A0EC"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48.5</w:t>
            </w:r>
          </w:p>
        </w:tc>
        <w:tc>
          <w:tcPr>
            <w:tcW w:w="885" w:type="dxa"/>
            <w:tcBorders>
              <w:top w:val="nil"/>
              <w:left w:val="nil"/>
              <w:bottom w:val="nil"/>
              <w:right w:val="single" w:sz="6" w:space="0" w:color="auto"/>
            </w:tcBorders>
            <w:tcMar>
              <w:top w:w="0" w:type="dxa"/>
              <w:left w:w="105" w:type="dxa"/>
              <w:bottom w:w="0" w:type="dxa"/>
              <w:right w:w="105" w:type="dxa"/>
            </w:tcMar>
            <w:vAlign w:val="center"/>
            <w:hideMark/>
          </w:tcPr>
          <w:p w14:paraId="1F0F740C"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-0.1</w:t>
            </w:r>
          </w:p>
        </w:tc>
        <w:tc>
          <w:tcPr>
            <w:tcW w:w="1005" w:type="dxa"/>
            <w:tcBorders>
              <w:top w:val="nil"/>
              <w:left w:val="nil"/>
              <w:bottom w:val="nil"/>
              <w:right w:val="single" w:sz="6" w:space="0" w:color="auto"/>
            </w:tcBorders>
            <w:tcMar>
              <w:top w:w="0" w:type="dxa"/>
              <w:left w:w="105" w:type="dxa"/>
              <w:bottom w:w="0" w:type="dxa"/>
              <w:right w:w="105" w:type="dxa"/>
            </w:tcMar>
            <w:vAlign w:val="center"/>
            <w:hideMark/>
          </w:tcPr>
          <w:p w14:paraId="2EE3C302"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68.4</w:t>
            </w:r>
          </w:p>
        </w:tc>
        <w:tc>
          <w:tcPr>
            <w:tcW w:w="885" w:type="dxa"/>
            <w:gridSpan w:val="2"/>
            <w:tcBorders>
              <w:top w:val="nil"/>
              <w:left w:val="nil"/>
              <w:bottom w:val="nil"/>
              <w:right w:val="nil"/>
            </w:tcBorders>
            <w:tcMar>
              <w:top w:w="0" w:type="dxa"/>
              <w:left w:w="105" w:type="dxa"/>
              <w:bottom w:w="0" w:type="dxa"/>
              <w:right w:w="105" w:type="dxa"/>
            </w:tcMar>
            <w:vAlign w:val="center"/>
            <w:hideMark/>
          </w:tcPr>
          <w:p w14:paraId="72BCE49D"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1.8</w:t>
            </w:r>
          </w:p>
        </w:tc>
      </w:tr>
      <w:tr w:rsidR="003A19FB" w:rsidRPr="003A19FB" w14:paraId="6C15EF16" w14:textId="77777777" w:rsidTr="003A19FB">
        <w:trPr>
          <w:trHeight w:val="135"/>
          <w:tblCellSpacing w:w="15" w:type="dxa"/>
        </w:trPr>
        <w:tc>
          <w:tcPr>
            <w:tcW w:w="3225" w:type="dxa"/>
            <w:tcBorders>
              <w:top w:val="nil"/>
              <w:left w:val="nil"/>
              <w:bottom w:val="nil"/>
              <w:right w:val="single" w:sz="6" w:space="0" w:color="auto"/>
            </w:tcBorders>
            <w:tcMar>
              <w:top w:w="0" w:type="dxa"/>
              <w:left w:w="105" w:type="dxa"/>
              <w:bottom w:w="0" w:type="dxa"/>
              <w:right w:w="105" w:type="dxa"/>
            </w:tcMar>
            <w:vAlign w:val="center"/>
            <w:hideMark/>
          </w:tcPr>
          <w:p w14:paraId="0602F336"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            </w:t>
            </w:r>
            <w:r w:rsidRPr="003A19FB">
              <w:rPr>
                <w:rFonts w:ascii="楷体_GB2312" w:eastAsia="楷体_GB2312" w:hAnsi="宋体" w:cs="宋体" w:hint="eastAsia"/>
                <w:kern w:val="0"/>
                <w:sz w:val="32"/>
                <w:szCs w:val="32"/>
              </w:rPr>
              <w:t>化肥</w:t>
            </w:r>
          </w:p>
        </w:tc>
        <w:tc>
          <w:tcPr>
            <w:tcW w:w="1035" w:type="dxa"/>
            <w:tcBorders>
              <w:top w:val="nil"/>
              <w:left w:val="nil"/>
              <w:bottom w:val="nil"/>
              <w:right w:val="single" w:sz="6" w:space="0" w:color="auto"/>
            </w:tcBorders>
            <w:tcMar>
              <w:top w:w="0" w:type="dxa"/>
              <w:left w:w="105" w:type="dxa"/>
              <w:bottom w:w="0" w:type="dxa"/>
              <w:right w:w="105" w:type="dxa"/>
            </w:tcMar>
            <w:vAlign w:val="center"/>
            <w:hideMark/>
          </w:tcPr>
          <w:p w14:paraId="3A3903C8"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125.3</w:t>
            </w:r>
          </w:p>
        </w:tc>
        <w:tc>
          <w:tcPr>
            <w:tcW w:w="975" w:type="dxa"/>
            <w:tcBorders>
              <w:top w:val="nil"/>
              <w:left w:val="nil"/>
              <w:bottom w:val="nil"/>
              <w:right w:val="single" w:sz="6" w:space="0" w:color="auto"/>
            </w:tcBorders>
            <w:tcMar>
              <w:top w:w="0" w:type="dxa"/>
              <w:left w:w="105" w:type="dxa"/>
              <w:bottom w:w="0" w:type="dxa"/>
              <w:right w:w="105" w:type="dxa"/>
            </w:tcMar>
            <w:vAlign w:val="center"/>
            <w:hideMark/>
          </w:tcPr>
          <w:p w14:paraId="3852ED18"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-2.2</w:t>
            </w:r>
          </w:p>
        </w:tc>
        <w:tc>
          <w:tcPr>
            <w:tcW w:w="1050" w:type="dxa"/>
            <w:tcBorders>
              <w:top w:val="nil"/>
              <w:left w:val="nil"/>
              <w:bottom w:val="nil"/>
              <w:right w:val="single" w:sz="6" w:space="0" w:color="auto"/>
            </w:tcBorders>
            <w:tcMar>
              <w:top w:w="0" w:type="dxa"/>
              <w:left w:w="105" w:type="dxa"/>
              <w:bottom w:w="0" w:type="dxa"/>
              <w:right w:w="105" w:type="dxa"/>
            </w:tcMar>
            <w:vAlign w:val="center"/>
            <w:hideMark/>
          </w:tcPr>
          <w:p w14:paraId="605E7899"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131.0</w:t>
            </w:r>
          </w:p>
        </w:tc>
        <w:tc>
          <w:tcPr>
            <w:tcW w:w="885" w:type="dxa"/>
            <w:tcBorders>
              <w:top w:val="nil"/>
              <w:left w:val="nil"/>
              <w:bottom w:val="nil"/>
              <w:right w:val="single" w:sz="6" w:space="0" w:color="auto"/>
            </w:tcBorders>
            <w:tcMar>
              <w:top w:w="0" w:type="dxa"/>
              <w:left w:w="105" w:type="dxa"/>
              <w:bottom w:w="0" w:type="dxa"/>
              <w:right w:w="105" w:type="dxa"/>
            </w:tcMar>
            <w:vAlign w:val="center"/>
            <w:hideMark/>
          </w:tcPr>
          <w:p w14:paraId="23457F58"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-2.6</w:t>
            </w:r>
          </w:p>
        </w:tc>
        <w:tc>
          <w:tcPr>
            <w:tcW w:w="1005" w:type="dxa"/>
            <w:tcBorders>
              <w:top w:val="nil"/>
              <w:left w:val="nil"/>
              <w:bottom w:val="nil"/>
              <w:right w:val="single" w:sz="6" w:space="0" w:color="auto"/>
            </w:tcBorders>
            <w:tcMar>
              <w:top w:w="0" w:type="dxa"/>
              <w:left w:w="105" w:type="dxa"/>
              <w:bottom w:w="0" w:type="dxa"/>
              <w:right w:w="105" w:type="dxa"/>
            </w:tcMar>
            <w:vAlign w:val="center"/>
            <w:hideMark/>
          </w:tcPr>
          <w:p w14:paraId="3C330CD0"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107.7</w:t>
            </w:r>
          </w:p>
        </w:tc>
        <w:tc>
          <w:tcPr>
            <w:tcW w:w="885" w:type="dxa"/>
            <w:gridSpan w:val="2"/>
            <w:tcBorders>
              <w:top w:val="nil"/>
              <w:left w:val="nil"/>
              <w:bottom w:val="nil"/>
              <w:right w:val="nil"/>
            </w:tcBorders>
            <w:tcMar>
              <w:top w:w="0" w:type="dxa"/>
              <w:left w:w="105" w:type="dxa"/>
              <w:bottom w:w="0" w:type="dxa"/>
              <w:right w:w="105" w:type="dxa"/>
            </w:tcMar>
            <w:vAlign w:val="center"/>
            <w:hideMark/>
          </w:tcPr>
          <w:p w14:paraId="0D7F6A19"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-0.3</w:t>
            </w:r>
          </w:p>
        </w:tc>
      </w:tr>
      <w:tr w:rsidR="003A19FB" w:rsidRPr="003A19FB" w14:paraId="3F160D3D" w14:textId="77777777" w:rsidTr="003A19FB">
        <w:trPr>
          <w:trHeight w:val="135"/>
          <w:tblCellSpacing w:w="15" w:type="dxa"/>
        </w:trPr>
        <w:tc>
          <w:tcPr>
            <w:tcW w:w="3225" w:type="dxa"/>
            <w:tcBorders>
              <w:top w:val="nil"/>
              <w:left w:val="nil"/>
              <w:bottom w:val="nil"/>
              <w:right w:val="single" w:sz="6" w:space="0" w:color="auto"/>
            </w:tcBorders>
            <w:tcMar>
              <w:top w:w="0" w:type="dxa"/>
              <w:left w:w="105" w:type="dxa"/>
              <w:bottom w:w="0" w:type="dxa"/>
              <w:right w:w="105" w:type="dxa"/>
            </w:tcMar>
            <w:vAlign w:val="center"/>
            <w:hideMark/>
          </w:tcPr>
          <w:p w14:paraId="20820D10"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            </w:t>
            </w:r>
            <w:r w:rsidRPr="003A19FB">
              <w:rPr>
                <w:rFonts w:ascii="楷体_GB2312" w:eastAsia="楷体_GB2312" w:hAnsi="宋体" w:cs="宋体" w:hint="eastAsia"/>
                <w:kern w:val="0"/>
                <w:sz w:val="32"/>
                <w:szCs w:val="32"/>
              </w:rPr>
              <w:t>农药</w:t>
            </w:r>
          </w:p>
        </w:tc>
        <w:tc>
          <w:tcPr>
            <w:tcW w:w="1035" w:type="dxa"/>
            <w:tcBorders>
              <w:top w:val="nil"/>
              <w:left w:val="nil"/>
              <w:bottom w:val="nil"/>
              <w:right w:val="single" w:sz="6" w:space="0" w:color="auto"/>
            </w:tcBorders>
            <w:tcMar>
              <w:top w:w="0" w:type="dxa"/>
              <w:left w:w="105" w:type="dxa"/>
              <w:bottom w:w="0" w:type="dxa"/>
              <w:right w:w="105" w:type="dxa"/>
            </w:tcMar>
            <w:vAlign w:val="center"/>
            <w:hideMark/>
          </w:tcPr>
          <w:p w14:paraId="383BF235"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26.9</w:t>
            </w:r>
          </w:p>
        </w:tc>
        <w:tc>
          <w:tcPr>
            <w:tcW w:w="975" w:type="dxa"/>
            <w:tcBorders>
              <w:top w:val="nil"/>
              <w:left w:val="nil"/>
              <w:bottom w:val="nil"/>
              <w:right w:val="single" w:sz="6" w:space="0" w:color="auto"/>
            </w:tcBorders>
            <w:tcMar>
              <w:top w:w="0" w:type="dxa"/>
              <w:left w:w="105" w:type="dxa"/>
              <w:bottom w:w="0" w:type="dxa"/>
              <w:right w:w="105" w:type="dxa"/>
            </w:tcMar>
            <w:vAlign w:val="center"/>
            <w:hideMark/>
          </w:tcPr>
          <w:p w14:paraId="6EC7BB76"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8.6</w:t>
            </w:r>
          </w:p>
        </w:tc>
        <w:tc>
          <w:tcPr>
            <w:tcW w:w="1050" w:type="dxa"/>
            <w:tcBorders>
              <w:top w:val="nil"/>
              <w:left w:val="nil"/>
              <w:bottom w:val="nil"/>
              <w:right w:val="single" w:sz="6" w:space="0" w:color="auto"/>
            </w:tcBorders>
            <w:tcMar>
              <w:top w:w="0" w:type="dxa"/>
              <w:left w:w="105" w:type="dxa"/>
              <w:bottom w:w="0" w:type="dxa"/>
              <w:right w:w="105" w:type="dxa"/>
            </w:tcMar>
            <w:vAlign w:val="center"/>
            <w:hideMark/>
          </w:tcPr>
          <w:p w14:paraId="7F6F8065"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25.6</w:t>
            </w:r>
          </w:p>
        </w:tc>
        <w:tc>
          <w:tcPr>
            <w:tcW w:w="885" w:type="dxa"/>
            <w:tcBorders>
              <w:top w:val="nil"/>
              <w:left w:val="nil"/>
              <w:bottom w:val="nil"/>
              <w:right w:val="single" w:sz="6" w:space="0" w:color="auto"/>
            </w:tcBorders>
            <w:tcMar>
              <w:top w:w="0" w:type="dxa"/>
              <w:left w:w="105" w:type="dxa"/>
              <w:bottom w:w="0" w:type="dxa"/>
              <w:right w:w="105" w:type="dxa"/>
            </w:tcMar>
            <w:vAlign w:val="center"/>
            <w:hideMark/>
          </w:tcPr>
          <w:p w14:paraId="739D9D7F"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14.0</w:t>
            </w:r>
          </w:p>
        </w:tc>
        <w:tc>
          <w:tcPr>
            <w:tcW w:w="1005" w:type="dxa"/>
            <w:tcBorders>
              <w:top w:val="nil"/>
              <w:left w:val="nil"/>
              <w:bottom w:val="nil"/>
              <w:right w:val="single" w:sz="6" w:space="0" w:color="auto"/>
            </w:tcBorders>
            <w:tcMar>
              <w:top w:w="0" w:type="dxa"/>
              <w:left w:w="105" w:type="dxa"/>
              <w:bottom w:w="0" w:type="dxa"/>
              <w:right w:w="105" w:type="dxa"/>
            </w:tcMar>
            <w:vAlign w:val="center"/>
            <w:hideMark/>
          </w:tcPr>
          <w:p w14:paraId="00B00641"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34.3</w:t>
            </w:r>
          </w:p>
        </w:tc>
        <w:tc>
          <w:tcPr>
            <w:tcW w:w="885" w:type="dxa"/>
            <w:gridSpan w:val="2"/>
            <w:tcBorders>
              <w:top w:val="nil"/>
              <w:left w:val="nil"/>
              <w:bottom w:val="nil"/>
              <w:right w:val="nil"/>
            </w:tcBorders>
            <w:tcMar>
              <w:top w:w="0" w:type="dxa"/>
              <w:left w:w="105" w:type="dxa"/>
              <w:bottom w:w="0" w:type="dxa"/>
              <w:right w:w="105" w:type="dxa"/>
            </w:tcMar>
            <w:vAlign w:val="center"/>
            <w:hideMark/>
          </w:tcPr>
          <w:p w14:paraId="7BEC9B7D"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-1.2</w:t>
            </w:r>
          </w:p>
        </w:tc>
      </w:tr>
      <w:tr w:rsidR="003A19FB" w:rsidRPr="003A19FB" w14:paraId="639819FC" w14:textId="77777777" w:rsidTr="003A19FB">
        <w:trPr>
          <w:trHeight w:val="135"/>
          <w:tblCellSpacing w:w="15" w:type="dxa"/>
        </w:trPr>
        <w:tc>
          <w:tcPr>
            <w:tcW w:w="3225" w:type="dxa"/>
            <w:tcBorders>
              <w:top w:val="nil"/>
              <w:left w:val="nil"/>
              <w:bottom w:val="nil"/>
              <w:right w:val="single" w:sz="6" w:space="0" w:color="auto"/>
            </w:tcBorders>
            <w:tcMar>
              <w:top w:w="0" w:type="dxa"/>
              <w:left w:w="105" w:type="dxa"/>
              <w:bottom w:w="0" w:type="dxa"/>
              <w:right w:w="105" w:type="dxa"/>
            </w:tcMar>
            <w:vAlign w:val="center"/>
            <w:hideMark/>
          </w:tcPr>
          <w:p w14:paraId="4C06A1B8"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      </w:t>
            </w:r>
            <w:r w:rsidRPr="003A19FB">
              <w:rPr>
                <w:rFonts w:ascii="楷体_GB2312" w:eastAsia="楷体_GB2312" w:hAnsi="宋体" w:cs="宋体" w:hint="eastAsia"/>
                <w:kern w:val="0"/>
                <w:sz w:val="32"/>
                <w:szCs w:val="32"/>
              </w:rPr>
              <w:t>生产服务支出</w:t>
            </w:r>
          </w:p>
        </w:tc>
        <w:tc>
          <w:tcPr>
            <w:tcW w:w="1035" w:type="dxa"/>
            <w:tcBorders>
              <w:top w:val="nil"/>
              <w:left w:val="nil"/>
              <w:bottom w:val="nil"/>
              <w:right w:val="single" w:sz="6" w:space="0" w:color="auto"/>
            </w:tcBorders>
            <w:tcMar>
              <w:top w:w="0" w:type="dxa"/>
              <w:left w:w="105" w:type="dxa"/>
              <w:bottom w:w="0" w:type="dxa"/>
              <w:right w:w="105" w:type="dxa"/>
            </w:tcMar>
            <w:vAlign w:val="center"/>
            <w:hideMark/>
          </w:tcPr>
          <w:p w14:paraId="3576F167"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130.3</w:t>
            </w:r>
          </w:p>
        </w:tc>
        <w:tc>
          <w:tcPr>
            <w:tcW w:w="975" w:type="dxa"/>
            <w:tcBorders>
              <w:top w:val="nil"/>
              <w:left w:val="nil"/>
              <w:bottom w:val="nil"/>
              <w:right w:val="single" w:sz="6" w:space="0" w:color="auto"/>
            </w:tcBorders>
            <w:tcMar>
              <w:top w:w="0" w:type="dxa"/>
              <w:left w:w="105" w:type="dxa"/>
              <w:bottom w:w="0" w:type="dxa"/>
              <w:right w:w="105" w:type="dxa"/>
            </w:tcMar>
            <w:vAlign w:val="center"/>
            <w:hideMark/>
          </w:tcPr>
          <w:p w14:paraId="2F17C2ED"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-3.5</w:t>
            </w:r>
          </w:p>
        </w:tc>
        <w:tc>
          <w:tcPr>
            <w:tcW w:w="1050" w:type="dxa"/>
            <w:tcBorders>
              <w:top w:val="nil"/>
              <w:left w:val="nil"/>
              <w:bottom w:val="nil"/>
              <w:right w:val="single" w:sz="6" w:space="0" w:color="auto"/>
            </w:tcBorders>
            <w:tcMar>
              <w:top w:w="0" w:type="dxa"/>
              <w:left w:w="105" w:type="dxa"/>
              <w:bottom w:w="0" w:type="dxa"/>
              <w:right w:w="105" w:type="dxa"/>
            </w:tcMar>
            <w:vAlign w:val="center"/>
            <w:hideMark/>
          </w:tcPr>
          <w:p w14:paraId="3D9DD504"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120.7</w:t>
            </w:r>
          </w:p>
        </w:tc>
        <w:tc>
          <w:tcPr>
            <w:tcW w:w="885" w:type="dxa"/>
            <w:tcBorders>
              <w:top w:val="nil"/>
              <w:left w:val="nil"/>
              <w:bottom w:val="nil"/>
              <w:right w:val="single" w:sz="6" w:space="0" w:color="auto"/>
            </w:tcBorders>
            <w:tcMar>
              <w:top w:w="0" w:type="dxa"/>
              <w:left w:w="105" w:type="dxa"/>
              <w:bottom w:w="0" w:type="dxa"/>
              <w:right w:w="105" w:type="dxa"/>
            </w:tcMar>
            <w:vAlign w:val="center"/>
            <w:hideMark/>
          </w:tcPr>
          <w:p w14:paraId="6B01C8E7"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-5.8</w:t>
            </w:r>
          </w:p>
        </w:tc>
        <w:tc>
          <w:tcPr>
            <w:tcW w:w="1005" w:type="dxa"/>
            <w:tcBorders>
              <w:top w:val="nil"/>
              <w:left w:val="nil"/>
              <w:bottom w:val="nil"/>
              <w:right w:val="single" w:sz="6" w:space="0" w:color="auto"/>
            </w:tcBorders>
            <w:tcMar>
              <w:top w:w="0" w:type="dxa"/>
              <w:left w:w="105" w:type="dxa"/>
              <w:bottom w:w="0" w:type="dxa"/>
              <w:right w:w="105" w:type="dxa"/>
            </w:tcMar>
            <w:vAlign w:val="center"/>
            <w:hideMark/>
          </w:tcPr>
          <w:p w14:paraId="3E852693"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194.4</w:t>
            </w:r>
          </w:p>
        </w:tc>
        <w:tc>
          <w:tcPr>
            <w:tcW w:w="885" w:type="dxa"/>
            <w:gridSpan w:val="2"/>
            <w:tcBorders>
              <w:top w:val="nil"/>
              <w:left w:val="nil"/>
              <w:bottom w:val="nil"/>
              <w:right w:val="nil"/>
            </w:tcBorders>
            <w:tcMar>
              <w:top w:w="0" w:type="dxa"/>
              <w:left w:w="105" w:type="dxa"/>
              <w:bottom w:w="0" w:type="dxa"/>
              <w:right w:w="105" w:type="dxa"/>
            </w:tcMar>
            <w:vAlign w:val="center"/>
            <w:hideMark/>
          </w:tcPr>
          <w:p w14:paraId="1525BB88"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4.3</w:t>
            </w:r>
          </w:p>
        </w:tc>
      </w:tr>
      <w:tr w:rsidR="003A19FB" w:rsidRPr="003A19FB" w14:paraId="1E8AB3EB" w14:textId="77777777" w:rsidTr="003A19FB">
        <w:trPr>
          <w:trHeight w:val="135"/>
          <w:tblCellSpacing w:w="15" w:type="dxa"/>
        </w:trPr>
        <w:tc>
          <w:tcPr>
            <w:tcW w:w="3225" w:type="dxa"/>
            <w:tcBorders>
              <w:top w:val="nil"/>
              <w:left w:val="nil"/>
              <w:bottom w:val="nil"/>
              <w:right w:val="single" w:sz="6" w:space="0" w:color="auto"/>
            </w:tcBorders>
            <w:tcMar>
              <w:top w:w="0" w:type="dxa"/>
              <w:left w:w="105" w:type="dxa"/>
              <w:bottom w:w="0" w:type="dxa"/>
              <w:right w:w="105" w:type="dxa"/>
            </w:tcMar>
            <w:vAlign w:val="center"/>
            <w:hideMark/>
          </w:tcPr>
          <w:p w14:paraId="5D29C09F"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      </w:t>
            </w:r>
            <w:r w:rsidRPr="003A19FB">
              <w:rPr>
                <w:rFonts w:ascii="楷体_GB2312" w:eastAsia="楷体_GB2312" w:hAnsi="宋体" w:cs="宋体" w:hint="eastAsia"/>
                <w:kern w:val="0"/>
                <w:sz w:val="32"/>
                <w:szCs w:val="32"/>
              </w:rPr>
              <w:t>其中：机耕</w:t>
            </w:r>
          </w:p>
        </w:tc>
        <w:tc>
          <w:tcPr>
            <w:tcW w:w="1035" w:type="dxa"/>
            <w:tcBorders>
              <w:top w:val="nil"/>
              <w:left w:val="nil"/>
              <w:bottom w:val="nil"/>
              <w:right w:val="single" w:sz="6" w:space="0" w:color="auto"/>
            </w:tcBorders>
            <w:tcMar>
              <w:top w:w="0" w:type="dxa"/>
              <w:left w:w="105" w:type="dxa"/>
              <w:bottom w:w="0" w:type="dxa"/>
              <w:right w:w="105" w:type="dxa"/>
            </w:tcMar>
            <w:vAlign w:val="center"/>
            <w:hideMark/>
          </w:tcPr>
          <w:p w14:paraId="25CF7911"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22.1</w:t>
            </w:r>
          </w:p>
        </w:tc>
        <w:tc>
          <w:tcPr>
            <w:tcW w:w="975" w:type="dxa"/>
            <w:tcBorders>
              <w:top w:val="nil"/>
              <w:left w:val="nil"/>
              <w:bottom w:val="nil"/>
              <w:right w:val="single" w:sz="6" w:space="0" w:color="auto"/>
            </w:tcBorders>
            <w:tcMar>
              <w:top w:w="0" w:type="dxa"/>
              <w:left w:w="105" w:type="dxa"/>
              <w:bottom w:w="0" w:type="dxa"/>
              <w:right w:w="105" w:type="dxa"/>
            </w:tcMar>
            <w:vAlign w:val="center"/>
            <w:hideMark/>
          </w:tcPr>
          <w:p w14:paraId="23644AD5"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0.3</w:t>
            </w:r>
          </w:p>
        </w:tc>
        <w:tc>
          <w:tcPr>
            <w:tcW w:w="1050" w:type="dxa"/>
            <w:tcBorders>
              <w:top w:val="nil"/>
              <w:left w:val="nil"/>
              <w:bottom w:val="nil"/>
              <w:right w:val="single" w:sz="6" w:space="0" w:color="auto"/>
            </w:tcBorders>
            <w:tcMar>
              <w:top w:w="0" w:type="dxa"/>
              <w:left w:w="105" w:type="dxa"/>
              <w:bottom w:w="0" w:type="dxa"/>
              <w:right w:w="105" w:type="dxa"/>
            </w:tcMar>
            <w:vAlign w:val="center"/>
            <w:hideMark/>
          </w:tcPr>
          <w:p w14:paraId="5997960F"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15.4</w:t>
            </w:r>
          </w:p>
        </w:tc>
        <w:tc>
          <w:tcPr>
            <w:tcW w:w="885" w:type="dxa"/>
            <w:tcBorders>
              <w:top w:val="nil"/>
              <w:left w:val="nil"/>
              <w:bottom w:val="nil"/>
              <w:right w:val="single" w:sz="6" w:space="0" w:color="auto"/>
            </w:tcBorders>
            <w:tcMar>
              <w:top w:w="0" w:type="dxa"/>
              <w:left w:w="105" w:type="dxa"/>
              <w:bottom w:w="0" w:type="dxa"/>
              <w:right w:w="105" w:type="dxa"/>
            </w:tcMar>
            <w:vAlign w:val="center"/>
            <w:hideMark/>
          </w:tcPr>
          <w:p w14:paraId="27649EA2"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-3.1</w:t>
            </w:r>
          </w:p>
        </w:tc>
        <w:tc>
          <w:tcPr>
            <w:tcW w:w="1005" w:type="dxa"/>
            <w:tcBorders>
              <w:top w:val="nil"/>
              <w:left w:val="nil"/>
              <w:bottom w:val="nil"/>
              <w:right w:val="single" w:sz="6" w:space="0" w:color="auto"/>
            </w:tcBorders>
            <w:tcMar>
              <w:top w:w="0" w:type="dxa"/>
              <w:left w:w="105" w:type="dxa"/>
              <w:bottom w:w="0" w:type="dxa"/>
              <w:right w:w="105" w:type="dxa"/>
            </w:tcMar>
            <w:vAlign w:val="center"/>
            <w:hideMark/>
          </w:tcPr>
          <w:p w14:paraId="5A2676E1"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61.8</w:t>
            </w:r>
          </w:p>
        </w:tc>
        <w:tc>
          <w:tcPr>
            <w:tcW w:w="885" w:type="dxa"/>
            <w:gridSpan w:val="2"/>
            <w:tcBorders>
              <w:top w:val="nil"/>
              <w:left w:val="nil"/>
              <w:bottom w:val="nil"/>
              <w:right w:val="nil"/>
            </w:tcBorders>
            <w:tcMar>
              <w:top w:w="0" w:type="dxa"/>
              <w:left w:w="105" w:type="dxa"/>
              <w:bottom w:w="0" w:type="dxa"/>
              <w:right w:w="105" w:type="dxa"/>
            </w:tcMar>
            <w:vAlign w:val="center"/>
            <w:hideMark/>
          </w:tcPr>
          <w:p w14:paraId="10AB8143"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3.0</w:t>
            </w:r>
          </w:p>
        </w:tc>
      </w:tr>
      <w:tr w:rsidR="003A19FB" w:rsidRPr="003A19FB" w14:paraId="1FAE904A" w14:textId="77777777" w:rsidTr="003A19FB">
        <w:trPr>
          <w:trHeight w:val="135"/>
          <w:tblCellSpacing w:w="15" w:type="dxa"/>
        </w:trPr>
        <w:tc>
          <w:tcPr>
            <w:tcW w:w="3225" w:type="dxa"/>
            <w:tcBorders>
              <w:top w:val="nil"/>
              <w:left w:val="nil"/>
              <w:bottom w:val="nil"/>
              <w:right w:val="single" w:sz="6" w:space="0" w:color="auto"/>
            </w:tcBorders>
            <w:tcMar>
              <w:top w:w="0" w:type="dxa"/>
              <w:left w:w="105" w:type="dxa"/>
              <w:bottom w:w="0" w:type="dxa"/>
              <w:right w:w="105" w:type="dxa"/>
            </w:tcMar>
            <w:vAlign w:val="center"/>
            <w:hideMark/>
          </w:tcPr>
          <w:p w14:paraId="4A250A46"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            </w:t>
            </w:r>
            <w:r w:rsidRPr="003A19FB">
              <w:rPr>
                <w:rFonts w:ascii="楷体_GB2312" w:eastAsia="楷体_GB2312" w:hAnsi="宋体" w:cs="宋体" w:hint="eastAsia"/>
                <w:kern w:val="0"/>
                <w:sz w:val="32"/>
                <w:szCs w:val="32"/>
              </w:rPr>
              <w:t>机播</w:t>
            </w:r>
          </w:p>
        </w:tc>
        <w:tc>
          <w:tcPr>
            <w:tcW w:w="1035" w:type="dxa"/>
            <w:tcBorders>
              <w:top w:val="nil"/>
              <w:left w:val="nil"/>
              <w:bottom w:val="nil"/>
              <w:right w:val="single" w:sz="6" w:space="0" w:color="auto"/>
            </w:tcBorders>
            <w:tcMar>
              <w:top w:w="0" w:type="dxa"/>
              <w:left w:w="105" w:type="dxa"/>
              <w:bottom w:w="0" w:type="dxa"/>
              <w:right w:w="105" w:type="dxa"/>
            </w:tcMar>
            <w:vAlign w:val="center"/>
            <w:hideMark/>
          </w:tcPr>
          <w:p w14:paraId="0A07F959"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21.7</w:t>
            </w:r>
          </w:p>
        </w:tc>
        <w:tc>
          <w:tcPr>
            <w:tcW w:w="975" w:type="dxa"/>
            <w:tcBorders>
              <w:top w:val="nil"/>
              <w:left w:val="nil"/>
              <w:bottom w:val="nil"/>
              <w:right w:val="single" w:sz="6" w:space="0" w:color="auto"/>
            </w:tcBorders>
            <w:tcMar>
              <w:top w:w="0" w:type="dxa"/>
              <w:left w:w="105" w:type="dxa"/>
              <w:bottom w:w="0" w:type="dxa"/>
              <w:right w:w="105" w:type="dxa"/>
            </w:tcMar>
            <w:vAlign w:val="center"/>
            <w:hideMark/>
          </w:tcPr>
          <w:p w14:paraId="6EF57D9B"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-1.1</w:t>
            </w:r>
          </w:p>
        </w:tc>
        <w:tc>
          <w:tcPr>
            <w:tcW w:w="1050" w:type="dxa"/>
            <w:tcBorders>
              <w:top w:val="nil"/>
              <w:left w:val="nil"/>
              <w:bottom w:val="nil"/>
              <w:right w:val="single" w:sz="6" w:space="0" w:color="auto"/>
            </w:tcBorders>
            <w:tcMar>
              <w:top w:w="0" w:type="dxa"/>
              <w:left w:w="105" w:type="dxa"/>
              <w:bottom w:w="0" w:type="dxa"/>
              <w:right w:w="105" w:type="dxa"/>
            </w:tcMar>
            <w:vAlign w:val="center"/>
            <w:hideMark/>
          </w:tcPr>
          <w:p w14:paraId="5AE09EF0"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21.2</w:t>
            </w:r>
          </w:p>
        </w:tc>
        <w:tc>
          <w:tcPr>
            <w:tcW w:w="885" w:type="dxa"/>
            <w:tcBorders>
              <w:top w:val="nil"/>
              <w:left w:val="nil"/>
              <w:bottom w:val="nil"/>
              <w:right w:val="single" w:sz="6" w:space="0" w:color="auto"/>
            </w:tcBorders>
            <w:tcMar>
              <w:top w:w="0" w:type="dxa"/>
              <w:left w:w="105" w:type="dxa"/>
              <w:bottom w:w="0" w:type="dxa"/>
              <w:right w:w="105" w:type="dxa"/>
            </w:tcMar>
            <w:vAlign w:val="center"/>
            <w:hideMark/>
          </w:tcPr>
          <w:p w14:paraId="763E524C"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-6.4</w:t>
            </w:r>
          </w:p>
        </w:tc>
        <w:tc>
          <w:tcPr>
            <w:tcW w:w="1005" w:type="dxa"/>
            <w:tcBorders>
              <w:top w:val="nil"/>
              <w:left w:val="nil"/>
              <w:bottom w:val="nil"/>
              <w:right w:val="single" w:sz="6" w:space="0" w:color="auto"/>
            </w:tcBorders>
            <w:tcMar>
              <w:top w:w="0" w:type="dxa"/>
              <w:left w:w="105" w:type="dxa"/>
              <w:bottom w:w="0" w:type="dxa"/>
              <w:right w:w="105" w:type="dxa"/>
            </w:tcMar>
            <w:vAlign w:val="center"/>
            <w:hideMark/>
          </w:tcPr>
          <w:p w14:paraId="4FE82A24"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24.0</w:t>
            </w:r>
          </w:p>
        </w:tc>
        <w:tc>
          <w:tcPr>
            <w:tcW w:w="885" w:type="dxa"/>
            <w:gridSpan w:val="2"/>
            <w:tcBorders>
              <w:top w:val="nil"/>
              <w:left w:val="nil"/>
              <w:bottom w:val="nil"/>
              <w:right w:val="nil"/>
            </w:tcBorders>
            <w:tcMar>
              <w:top w:w="0" w:type="dxa"/>
              <w:left w:w="105" w:type="dxa"/>
              <w:bottom w:w="0" w:type="dxa"/>
              <w:right w:w="105" w:type="dxa"/>
            </w:tcMar>
            <w:vAlign w:val="center"/>
            <w:hideMark/>
          </w:tcPr>
          <w:p w14:paraId="18A57CB9"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37.4</w:t>
            </w:r>
          </w:p>
        </w:tc>
      </w:tr>
      <w:tr w:rsidR="003A19FB" w:rsidRPr="003A19FB" w14:paraId="3756B535" w14:textId="77777777" w:rsidTr="003A19FB">
        <w:trPr>
          <w:trHeight w:val="135"/>
          <w:tblCellSpacing w:w="15" w:type="dxa"/>
        </w:trPr>
        <w:tc>
          <w:tcPr>
            <w:tcW w:w="3225" w:type="dxa"/>
            <w:tcBorders>
              <w:top w:val="nil"/>
              <w:left w:val="nil"/>
              <w:bottom w:val="nil"/>
              <w:right w:val="single" w:sz="6" w:space="0" w:color="auto"/>
            </w:tcBorders>
            <w:tcMar>
              <w:top w:w="0" w:type="dxa"/>
              <w:left w:w="105" w:type="dxa"/>
              <w:bottom w:w="0" w:type="dxa"/>
              <w:right w:w="105" w:type="dxa"/>
            </w:tcMar>
            <w:vAlign w:val="center"/>
            <w:hideMark/>
          </w:tcPr>
          <w:p w14:paraId="06E21A83"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            </w:t>
            </w:r>
            <w:r w:rsidRPr="003A19FB">
              <w:rPr>
                <w:rFonts w:ascii="楷体_GB2312" w:eastAsia="楷体_GB2312" w:hAnsi="宋体" w:cs="宋体" w:hint="eastAsia"/>
                <w:kern w:val="0"/>
                <w:sz w:val="32"/>
                <w:szCs w:val="32"/>
              </w:rPr>
              <w:t>机收</w:t>
            </w:r>
          </w:p>
        </w:tc>
        <w:tc>
          <w:tcPr>
            <w:tcW w:w="1035" w:type="dxa"/>
            <w:tcBorders>
              <w:top w:val="nil"/>
              <w:left w:val="nil"/>
              <w:bottom w:val="nil"/>
              <w:right w:val="single" w:sz="6" w:space="0" w:color="auto"/>
            </w:tcBorders>
            <w:tcMar>
              <w:top w:w="0" w:type="dxa"/>
              <w:left w:w="105" w:type="dxa"/>
              <w:bottom w:w="0" w:type="dxa"/>
              <w:right w:w="105" w:type="dxa"/>
            </w:tcMar>
            <w:vAlign w:val="center"/>
            <w:hideMark/>
          </w:tcPr>
          <w:p w14:paraId="2B1FCCD6"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62.3</w:t>
            </w:r>
          </w:p>
        </w:tc>
        <w:tc>
          <w:tcPr>
            <w:tcW w:w="975" w:type="dxa"/>
            <w:tcBorders>
              <w:top w:val="nil"/>
              <w:left w:val="nil"/>
              <w:bottom w:val="nil"/>
              <w:right w:val="single" w:sz="6" w:space="0" w:color="auto"/>
            </w:tcBorders>
            <w:tcMar>
              <w:top w:w="0" w:type="dxa"/>
              <w:left w:w="105" w:type="dxa"/>
              <w:bottom w:w="0" w:type="dxa"/>
              <w:right w:w="105" w:type="dxa"/>
            </w:tcMar>
            <w:vAlign w:val="center"/>
            <w:hideMark/>
          </w:tcPr>
          <w:p w14:paraId="7E01FEE3"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-2.0</w:t>
            </w:r>
          </w:p>
        </w:tc>
        <w:tc>
          <w:tcPr>
            <w:tcW w:w="1050" w:type="dxa"/>
            <w:tcBorders>
              <w:top w:val="nil"/>
              <w:left w:val="nil"/>
              <w:bottom w:val="nil"/>
              <w:right w:val="single" w:sz="6" w:space="0" w:color="auto"/>
            </w:tcBorders>
            <w:tcMar>
              <w:top w:w="0" w:type="dxa"/>
              <w:left w:w="105" w:type="dxa"/>
              <w:bottom w:w="0" w:type="dxa"/>
              <w:right w:w="105" w:type="dxa"/>
            </w:tcMar>
            <w:vAlign w:val="center"/>
            <w:hideMark/>
          </w:tcPr>
          <w:p w14:paraId="2D9C3FCE"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61.0</w:t>
            </w:r>
          </w:p>
        </w:tc>
        <w:tc>
          <w:tcPr>
            <w:tcW w:w="885" w:type="dxa"/>
            <w:tcBorders>
              <w:top w:val="nil"/>
              <w:left w:val="nil"/>
              <w:bottom w:val="nil"/>
              <w:right w:val="single" w:sz="6" w:space="0" w:color="auto"/>
            </w:tcBorders>
            <w:tcMar>
              <w:top w:w="0" w:type="dxa"/>
              <w:left w:w="105" w:type="dxa"/>
              <w:bottom w:w="0" w:type="dxa"/>
              <w:right w:w="105" w:type="dxa"/>
            </w:tcMar>
            <w:vAlign w:val="center"/>
            <w:hideMark/>
          </w:tcPr>
          <w:p w14:paraId="5E4886B2"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-1.2</w:t>
            </w:r>
          </w:p>
        </w:tc>
        <w:tc>
          <w:tcPr>
            <w:tcW w:w="1005" w:type="dxa"/>
            <w:tcBorders>
              <w:top w:val="nil"/>
              <w:left w:val="nil"/>
              <w:bottom w:val="nil"/>
              <w:right w:val="single" w:sz="6" w:space="0" w:color="auto"/>
            </w:tcBorders>
            <w:tcMar>
              <w:top w:w="0" w:type="dxa"/>
              <w:left w:w="105" w:type="dxa"/>
              <w:bottom w:w="0" w:type="dxa"/>
              <w:right w:w="105" w:type="dxa"/>
            </w:tcMar>
            <w:vAlign w:val="center"/>
            <w:hideMark/>
          </w:tcPr>
          <w:p w14:paraId="1F6431BC"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78.4</w:t>
            </w:r>
          </w:p>
        </w:tc>
        <w:tc>
          <w:tcPr>
            <w:tcW w:w="885" w:type="dxa"/>
            <w:gridSpan w:val="2"/>
            <w:tcBorders>
              <w:top w:val="nil"/>
              <w:left w:val="nil"/>
              <w:bottom w:val="nil"/>
              <w:right w:val="nil"/>
            </w:tcBorders>
            <w:tcMar>
              <w:top w:w="0" w:type="dxa"/>
              <w:left w:w="105" w:type="dxa"/>
              <w:bottom w:w="0" w:type="dxa"/>
              <w:right w:w="105" w:type="dxa"/>
            </w:tcMar>
            <w:vAlign w:val="center"/>
            <w:hideMark/>
          </w:tcPr>
          <w:p w14:paraId="61D4AF52"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-0.7</w:t>
            </w:r>
          </w:p>
        </w:tc>
      </w:tr>
      <w:tr w:rsidR="003A19FB" w:rsidRPr="003A19FB" w14:paraId="0205D36A" w14:textId="77777777" w:rsidTr="003A19FB">
        <w:trPr>
          <w:trHeight w:val="135"/>
          <w:tblCellSpacing w:w="15" w:type="dxa"/>
        </w:trPr>
        <w:tc>
          <w:tcPr>
            <w:tcW w:w="3225" w:type="dxa"/>
            <w:tcBorders>
              <w:top w:val="nil"/>
              <w:left w:val="nil"/>
              <w:bottom w:val="nil"/>
              <w:right w:val="single" w:sz="6" w:space="0" w:color="auto"/>
            </w:tcBorders>
            <w:tcMar>
              <w:top w:w="0" w:type="dxa"/>
              <w:left w:w="105" w:type="dxa"/>
              <w:bottom w:w="0" w:type="dxa"/>
              <w:right w:w="105" w:type="dxa"/>
            </w:tcMar>
            <w:vAlign w:val="center"/>
            <w:hideMark/>
          </w:tcPr>
          <w:p w14:paraId="1472729F"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            </w:t>
            </w:r>
            <w:r w:rsidRPr="003A19FB">
              <w:rPr>
                <w:rFonts w:ascii="楷体_GB2312" w:eastAsia="楷体_GB2312" w:hAnsi="宋体" w:cs="宋体" w:hint="eastAsia"/>
                <w:kern w:val="0"/>
                <w:sz w:val="32"/>
                <w:szCs w:val="32"/>
              </w:rPr>
              <w:t>排灌</w:t>
            </w:r>
          </w:p>
        </w:tc>
        <w:tc>
          <w:tcPr>
            <w:tcW w:w="1035" w:type="dxa"/>
            <w:tcBorders>
              <w:top w:val="nil"/>
              <w:left w:val="nil"/>
              <w:bottom w:val="nil"/>
              <w:right w:val="single" w:sz="6" w:space="0" w:color="auto"/>
            </w:tcBorders>
            <w:tcMar>
              <w:top w:w="0" w:type="dxa"/>
              <w:left w:w="105" w:type="dxa"/>
              <w:bottom w:w="0" w:type="dxa"/>
              <w:right w:w="105" w:type="dxa"/>
            </w:tcMar>
            <w:vAlign w:val="center"/>
            <w:hideMark/>
          </w:tcPr>
          <w:p w14:paraId="05A3F25E"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24.3</w:t>
            </w:r>
          </w:p>
        </w:tc>
        <w:tc>
          <w:tcPr>
            <w:tcW w:w="975" w:type="dxa"/>
            <w:tcBorders>
              <w:top w:val="nil"/>
              <w:left w:val="nil"/>
              <w:bottom w:val="nil"/>
              <w:right w:val="single" w:sz="6" w:space="0" w:color="auto"/>
            </w:tcBorders>
            <w:tcMar>
              <w:top w:w="0" w:type="dxa"/>
              <w:left w:w="105" w:type="dxa"/>
              <w:bottom w:w="0" w:type="dxa"/>
              <w:right w:w="105" w:type="dxa"/>
            </w:tcMar>
            <w:vAlign w:val="center"/>
            <w:hideMark/>
          </w:tcPr>
          <w:p w14:paraId="7D95A0E4"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-12.0</w:t>
            </w:r>
          </w:p>
        </w:tc>
        <w:tc>
          <w:tcPr>
            <w:tcW w:w="1050" w:type="dxa"/>
            <w:tcBorders>
              <w:top w:val="nil"/>
              <w:left w:val="nil"/>
              <w:bottom w:val="nil"/>
              <w:right w:val="single" w:sz="6" w:space="0" w:color="auto"/>
            </w:tcBorders>
            <w:tcMar>
              <w:top w:w="0" w:type="dxa"/>
              <w:left w:w="105" w:type="dxa"/>
              <w:bottom w:w="0" w:type="dxa"/>
              <w:right w:w="105" w:type="dxa"/>
            </w:tcMar>
            <w:vAlign w:val="center"/>
            <w:hideMark/>
          </w:tcPr>
          <w:p w14:paraId="704A3320"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23.1</w:t>
            </w:r>
          </w:p>
        </w:tc>
        <w:tc>
          <w:tcPr>
            <w:tcW w:w="885" w:type="dxa"/>
            <w:tcBorders>
              <w:top w:val="nil"/>
              <w:left w:val="nil"/>
              <w:bottom w:val="nil"/>
              <w:right w:val="single" w:sz="6" w:space="0" w:color="auto"/>
            </w:tcBorders>
            <w:tcMar>
              <w:top w:w="0" w:type="dxa"/>
              <w:left w:w="105" w:type="dxa"/>
              <w:bottom w:w="0" w:type="dxa"/>
              <w:right w:w="105" w:type="dxa"/>
            </w:tcMar>
            <w:vAlign w:val="center"/>
            <w:hideMark/>
          </w:tcPr>
          <w:p w14:paraId="69984CD5"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-17.2</w:t>
            </w:r>
          </w:p>
        </w:tc>
        <w:tc>
          <w:tcPr>
            <w:tcW w:w="1005" w:type="dxa"/>
            <w:tcBorders>
              <w:top w:val="nil"/>
              <w:left w:val="nil"/>
              <w:bottom w:val="nil"/>
              <w:right w:val="single" w:sz="6" w:space="0" w:color="auto"/>
            </w:tcBorders>
            <w:tcMar>
              <w:top w:w="0" w:type="dxa"/>
              <w:left w:w="105" w:type="dxa"/>
              <w:bottom w:w="0" w:type="dxa"/>
              <w:right w:w="105" w:type="dxa"/>
            </w:tcMar>
            <w:vAlign w:val="center"/>
            <w:hideMark/>
          </w:tcPr>
          <w:p w14:paraId="12C86B1D"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30.2</w:t>
            </w:r>
          </w:p>
        </w:tc>
        <w:tc>
          <w:tcPr>
            <w:tcW w:w="885" w:type="dxa"/>
            <w:gridSpan w:val="2"/>
            <w:tcBorders>
              <w:top w:val="nil"/>
              <w:left w:val="nil"/>
              <w:bottom w:val="nil"/>
              <w:right w:val="nil"/>
            </w:tcBorders>
            <w:tcMar>
              <w:top w:w="0" w:type="dxa"/>
              <w:left w:w="105" w:type="dxa"/>
              <w:bottom w:w="0" w:type="dxa"/>
              <w:right w:w="105" w:type="dxa"/>
            </w:tcMar>
            <w:vAlign w:val="center"/>
            <w:hideMark/>
          </w:tcPr>
          <w:p w14:paraId="2DC1E1F2"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0.7</w:t>
            </w:r>
          </w:p>
        </w:tc>
      </w:tr>
      <w:tr w:rsidR="003A19FB" w:rsidRPr="003A19FB" w14:paraId="66C48456" w14:textId="77777777" w:rsidTr="003A19FB">
        <w:trPr>
          <w:trHeight w:val="135"/>
          <w:tblCellSpacing w:w="15" w:type="dxa"/>
        </w:trPr>
        <w:tc>
          <w:tcPr>
            <w:tcW w:w="32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48C3C76" w14:textId="77777777" w:rsidR="003A19FB" w:rsidRPr="003A19FB" w:rsidRDefault="003A19FB" w:rsidP="003A19FB">
            <w:pPr>
              <w:widowControl/>
              <w:spacing w:before="100" w:beforeAutospacing="1" w:after="100" w:afterAutospacing="1" w:line="540" w:lineRule="atLeast"/>
              <w:ind w:firstLine="960"/>
              <w:rPr>
                <w:rFonts w:ascii="宋体" w:eastAsia="宋体" w:hAnsi="宋体" w:cs="宋体"/>
                <w:kern w:val="0"/>
                <w:sz w:val="24"/>
                <w:szCs w:val="24"/>
              </w:rPr>
            </w:pPr>
            <w:r w:rsidRPr="003A19FB">
              <w:rPr>
                <w:rFonts w:ascii="楷体_GB2312" w:eastAsia="楷体_GB2312" w:hAnsi="宋体" w:cs="宋体" w:hint="eastAsia"/>
                <w:kern w:val="0"/>
                <w:sz w:val="32"/>
                <w:szCs w:val="32"/>
              </w:rPr>
              <w:t>人工成本</w:t>
            </w:r>
          </w:p>
        </w:tc>
        <w:tc>
          <w:tcPr>
            <w:tcW w:w="10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2F84221"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106.5</w:t>
            </w:r>
          </w:p>
        </w:tc>
        <w:tc>
          <w:tcPr>
            <w:tcW w:w="9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0DAC81"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-3.5</w:t>
            </w:r>
          </w:p>
        </w:tc>
        <w:tc>
          <w:tcPr>
            <w:tcW w:w="10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C9F9366"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104.4</w:t>
            </w:r>
          </w:p>
        </w:tc>
        <w:tc>
          <w:tcPr>
            <w:tcW w:w="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0E6AC47"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-0.4</w:t>
            </w:r>
          </w:p>
        </w:tc>
        <w:tc>
          <w:tcPr>
            <w:tcW w:w="10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C6BF0A3"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120.7</w:t>
            </w:r>
          </w:p>
        </w:tc>
        <w:tc>
          <w:tcPr>
            <w:tcW w:w="885" w:type="dxa"/>
            <w:gridSpan w:val="2"/>
            <w:tcBorders>
              <w:top w:val="nil"/>
              <w:left w:val="nil"/>
              <w:bottom w:val="single" w:sz="6" w:space="0" w:color="auto"/>
              <w:right w:val="nil"/>
            </w:tcBorders>
            <w:tcMar>
              <w:top w:w="0" w:type="dxa"/>
              <w:left w:w="105" w:type="dxa"/>
              <w:bottom w:w="0" w:type="dxa"/>
              <w:right w:w="105" w:type="dxa"/>
            </w:tcMar>
            <w:vAlign w:val="center"/>
            <w:hideMark/>
          </w:tcPr>
          <w:p w14:paraId="03FB9D0C" w14:textId="77777777" w:rsidR="003A19FB" w:rsidRPr="003A19FB" w:rsidRDefault="003A19FB" w:rsidP="003A19FB">
            <w:pPr>
              <w:widowControl/>
              <w:spacing w:before="100" w:beforeAutospacing="1" w:after="100" w:afterAutospacing="1" w:line="540" w:lineRule="atLeast"/>
              <w:rPr>
                <w:rFonts w:ascii="宋体" w:eastAsia="宋体" w:hAnsi="宋体" w:cs="宋体"/>
                <w:kern w:val="0"/>
                <w:sz w:val="24"/>
                <w:szCs w:val="24"/>
              </w:rPr>
            </w:pPr>
            <w:r w:rsidRPr="003A19FB">
              <w:rPr>
                <w:rFonts w:ascii="宋体" w:eastAsia="宋体" w:hAnsi="宋体" w:cs="宋体"/>
                <w:kern w:val="0"/>
                <w:sz w:val="32"/>
                <w:szCs w:val="32"/>
              </w:rPr>
              <w:t>-20.3</w:t>
            </w:r>
          </w:p>
        </w:tc>
      </w:tr>
      <w:tr w:rsidR="003A19FB" w:rsidRPr="003A19FB" w14:paraId="54232003" w14:textId="77777777" w:rsidTr="003A19FB">
        <w:trPr>
          <w:tblCellSpacing w:w="15" w:type="dxa"/>
        </w:trPr>
        <w:tc>
          <w:tcPr>
            <w:tcW w:w="4845" w:type="dxa"/>
            <w:tcBorders>
              <w:top w:val="nil"/>
              <w:left w:val="nil"/>
              <w:bottom w:val="nil"/>
              <w:right w:val="nil"/>
            </w:tcBorders>
            <w:vAlign w:val="center"/>
            <w:hideMark/>
          </w:tcPr>
          <w:p w14:paraId="1C15D32D" w14:textId="77777777" w:rsidR="003A19FB" w:rsidRPr="003A19FB" w:rsidRDefault="003A19FB" w:rsidP="003A19FB">
            <w:pPr>
              <w:widowControl/>
              <w:jc w:val="left"/>
              <w:rPr>
                <w:rFonts w:ascii="宋体" w:eastAsia="宋体" w:hAnsi="宋体" w:cs="宋体"/>
                <w:kern w:val="0"/>
                <w:sz w:val="24"/>
                <w:szCs w:val="24"/>
              </w:rPr>
            </w:pPr>
          </w:p>
        </w:tc>
        <w:tc>
          <w:tcPr>
            <w:tcW w:w="1560" w:type="dxa"/>
            <w:tcBorders>
              <w:top w:val="nil"/>
              <w:left w:val="nil"/>
              <w:bottom w:val="nil"/>
              <w:right w:val="nil"/>
            </w:tcBorders>
            <w:vAlign w:val="center"/>
            <w:hideMark/>
          </w:tcPr>
          <w:p w14:paraId="0C532976" w14:textId="77777777" w:rsidR="003A19FB" w:rsidRPr="003A19FB" w:rsidRDefault="003A19FB" w:rsidP="003A19FB">
            <w:pPr>
              <w:widowControl/>
              <w:jc w:val="left"/>
              <w:rPr>
                <w:rFonts w:ascii="宋体" w:eastAsia="宋体" w:hAnsi="宋体" w:cs="宋体"/>
                <w:kern w:val="0"/>
                <w:sz w:val="24"/>
                <w:szCs w:val="24"/>
              </w:rPr>
            </w:pPr>
          </w:p>
        </w:tc>
        <w:tc>
          <w:tcPr>
            <w:tcW w:w="1470" w:type="dxa"/>
            <w:tcBorders>
              <w:top w:val="nil"/>
              <w:left w:val="nil"/>
              <w:bottom w:val="nil"/>
              <w:right w:val="nil"/>
            </w:tcBorders>
            <w:vAlign w:val="center"/>
            <w:hideMark/>
          </w:tcPr>
          <w:p w14:paraId="6D6A4B9D" w14:textId="77777777" w:rsidR="003A19FB" w:rsidRPr="003A19FB" w:rsidRDefault="003A19FB" w:rsidP="003A19FB">
            <w:pPr>
              <w:widowControl/>
              <w:jc w:val="left"/>
              <w:rPr>
                <w:rFonts w:ascii="宋体" w:eastAsia="宋体" w:hAnsi="宋体" w:cs="宋体"/>
                <w:kern w:val="0"/>
                <w:sz w:val="24"/>
                <w:szCs w:val="24"/>
              </w:rPr>
            </w:pPr>
          </w:p>
        </w:tc>
        <w:tc>
          <w:tcPr>
            <w:tcW w:w="1575" w:type="dxa"/>
            <w:tcBorders>
              <w:top w:val="nil"/>
              <w:left w:val="nil"/>
              <w:bottom w:val="nil"/>
              <w:right w:val="nil"/>
            </w:tcBorders>
            <w:vAlign w:val="center"/>
            <w:hideMark/>
          </w:tcPr>
          <w:p w14:paraId="21E3A545" w14:textId="77777777" w:rsidR="003A19FB" w:rsidRPr="003A19FB" w:rsidRDefault="003A19FB" w:rsidP="003A19FB">
            <w:pPr>
              <w:widowControl/>
              <w:jc w:val="left"/>
              <w:rPr>
                <w:rFonts w:ascii="宋体" w:eastAsia="宋体" w:hAnsi="宋体" w:cs="宋体"/>
                <w:kern w:val="0"/>
                <w:sz w:val="24"/>
                <w:szCs w:val="24"/>
              </w:rPr>
            </w:pPr>
          </w:p>
        </w:tc>
        <w:tc>
          <w:tcPr>
            <w:tcW w:w="1335" w:type="dxa"/>
            <w:tcBorders>
              <w:top w:val="nil"/>
              <w:left w:val="nil"/>
              <w:bottom w:val="nil"/>
              <w:right w:val="nil"/>
            </w:tcBorders>
            <w:vAlign w:val="center"/>
            <w:hideMark/>
          </w:tcPr>
          <w:p w14:paraId="35481CD0" w14:textId="77777777" w:rsidR="003A19FB" w:rsidRPr="003A19FB" w:rsidRDefault="003A19FB" w:rsidP="003A19FB">
            <w:pPr>
              <w:widowControl/>
              <w:jc w:val="left"/>
              <w:rPr>
                <w:rFonts w:ascii="宋体" w:eastAsia="宋体" w:hAnsi="宋体" w:cs="宋体"/>
                <w:kern w:val="0"/>
                <w:sz w:val="24"/>
                <w:szCs w:val="24"/>
              </w:rPr>
            </w:pPr>
          </w:p>
        </w:tc>
        <w:tc>
          <w:tcPr>
            <w:tcW w:w="1515" w:type="dxa"/>
            <w:tcBorders>
              <w:top w:val="nil"/>
              <w:left w:val="nil"/>
              <w:bottom w:val="nil"/>
              <w:right w:val="nil"/>
            </w:tcBorders>
            <w:vAlign w:val="center"/>
            <w:hideMark/>
          </w:tcPr>
          <w:p w14:paraId="2A861BC0" w14:textId="77777777" w:rsidR="003A19FB" w:rsidRPr="003A19FB" w:rsidRDefault="003A19FB" w:rsidP="003A19FB">
            <w:pPr>
              <w:widowControl/>
              <w:jc w:val="left"/>
              <w:rPr>
                <w:rFonts w:ascii="宋体" w:eastAsia="宋体" w:hAnsi="宋体" w:cs="宋体"/>
                <w:kern w:val="0"/>
                <w:sz w:val="24"/>
                <w:szCs w:val="24"/>
              </w:rPr>
            </w:pPr>
          </w:p>
        </w:tc>
        <w:tc>
          <w:tcPr>
            <w:tcW w:w="1110" w:type="dxa"/>
            <w:tcBorders>
              <w:top w:val="nil"/>
              <w:left w:val="nil"/>
              <w:bottom w:val="nil"/>
              <w:right w:val="nil"/>
            </w:tcBorders>
            <w:vAlign w:val="center"/>
            <w:hideMark/>
          </w:tcPr>
          <w:p w14:paraId="75E35376" w14:textId="77777777" w:rsidR="003A19FB" w:rsidRPr="003A19FB" w:rsidRDefault="003A19FB" w:rsidP="003A19FB">
            <w:pPr>
              <w:widowControl/>
              <w:jc w:val="left"/>
              <w:rPr>
                <w:rFonts w:ascii="宋体" w:eastAsia="宋体" w:hAnsi="宋体" w:cs="宋体"/>
                <w:kern w:val="0"/>
                <w:sz w:val="24"/>
                <w:szCs w:val="24"/>
              </w:rPr>
            </w:pPr>
          </w:p>
        </w:tc>
        <w:tc>
          <w:tcPr>
            <w:tcW w:w="225" w:type="dxa"/>
            <w:tcBorders>
              <w:top w:val="nil"/>
              <w:left w:val="nil"/>
              <w:bottom w:val="nil"/>
              <w:right w:val="nil"/>
            </w:tcBorders>
            <w:vAlign w:val="center"/>
            <w:hideMark/>
          </w:tcPr>
          <w:p w14:paraId="2D05D758" w14:textId="77777777" w:rsidR="003A19FB" w:rsidRPr="003A19FB" w:rsidRDefault="003A19FB" w:rsidP="003A19FB">
            <w:pPr>
              <w:widowControl/>
              <w:jc w:val="left"/>
              <w:rPr>
                <w:rFonts w:ascii="宋体" w:eastAsia="宋体" w:hAnsi="宋体" w:cs="宋体"/>
                <w:kern w:val="0"/>
                <w:sz w:val="24"/>
                <w:szCs w:val="24"/>
              </w:rPr>
            </w:pPr>
          </w:p>
        </w:tc>
      </w:tr>
    </w:tbl>
    <w:p w14:paraId="628FF325"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color w:val="333333"/>
          <w:kern w:val="0"/>
          <w:sz w:val="18"/>
          <w:szCs w:val="18"/>
        </w:rPr>
      </w:pPr>
      <w:r w:rsidRPr="003A19FB">
        <w:rPr>
          <w:rFonts w:ascii="微软雅黑" w:eastAsia="微软雅黑" w:hAnsi="微软雅黑" w:cs="宋体" w:hint="eastAsia"/>
          <w:color w:val="333333"/>
          <w:kern w:val="0"/>
          <w:sz w:val="32"/>
          <w:szCs w:val="32"/>
        </w:rPr>
        <w:lastRenderedPageBreak/>
        <w:t>2020</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H</w:t>
      </w:r>
      <w:r w:rsidRPr="003A19FB">
        <w:rPr>
          <w:rFonts w:ascii="楷体_GB2312" w:eastAsia="楷体_GB2312" w:hAnsi="微软雅黑" w:cs="宋体" w:hint="eastAsia"/>
          <w:color w:val="333333"/>
          <w:kern w:val="0"/>
          <w:sz w:val="32"/>
          <w:szCs w:val="32"/>
        </w:rPr>
        <w:t>省秋粮玉米和稻谷的市场平均交易价格分别为</w:t>
      </w:r>
      <w:r w:rsidRPr="003A19FB">
        <w:rPr>
          <w:rFonts w:ascii="微软雅黑" w:eastAsia="微软雅黑" w:hAnsi="微软雅黑" w:cs="宋体" w:hint="eastAsia"/>
          <w:color w:val="333333"/>
          <w:kern w:val="0"/>
          <w:sz w:val="32"/>
          <w:szCs w:val="32"/>
        </w:rPr>
        <w:t>2.34</w:t>
      </w:r>
      <w:r w:rsidRPr="003A19FB">
        <w:rPr>
          <w:rFonts w:ascii="楷体_GB2312" w:eastAsia="楷体_GB2312" w:hAnsi="微软雅黑" w:cs="宋体" w:hint="eastAsia"/>
          <w:color w:val="333333"/>
          <w:kern w:val="0"/>
          <w:sz w:val="32"/>
          <w:szCs w:val="32"/>
        </w:rPr>
        <w:t>元</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公斤和</w:t>
      </w:r>
      <w:r w:rsidRPr="003A19FB">
        <w:rPr>
          <w:rFonts w:ascii="微软雅黑" w:eastAsia="微软雅黑" w:hAnsi="微软雅黑" w:cs="宋体" w:hint="eastAsia"/>
          <w:color w:val="333333"/>
          <w:kern w:val="0"/>
          <w:sz w:val="32"/>
          <w:szCs w:val="32"/>
        </w:rPr>
        <w:t>2.74</w:t>
      </w:r>
      <w:r w:rsidRPr="003A19FB">
        <w:rPr>
          <w:rFonts w:ascii="楷体_GB2312" w:eastAsia="楷体_GB2312" w:hAnsi="微软雅黑" w:cs="宋体" w:hint="eastAsia"/>
          <w:color w:val="333333"/>
          <w:kern w:val="0"/>
          <w:sz w:val="32"/>
          <w:szCs w:val="32"/>
        </w:rPr>
        <w:t>元</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公斤，分别比上年上涨</w:t>
      </w:r>
      <w:r w:rsidRPr="003A19FB">
        <w:rPr>
          <w:rFonts w:ascii="微软雅黑" w:eastAsia="微软雅黑" w:hAnsi="微软雅黑" w:cs="宋体" w:hint="eastAsia"/>
          <w:color w:val="333333"/>
          <w:kern w:val="0"/>
          <w:sz w:val="32"/>
          <w:szCs w:val="32"/>
        </w:rPr>
        <w:t>28.6%</w:t>
      </w:r>
      <w:r w:rsidRPr="003A19FB">
        <w:rPr>
          <w:rFonts w:ascii="楷体_GB2312" w:eastAsia="楷体_GB2312" w:hAnsi="微软雅黑" w:cs="宋体" w:hint="eastAsia"/>
          <w:color w:val="333333"/>
          <w:kern w:val="0"/>
          <w:sz w:val="32"/>
          <w:szCs w:val="32"/>
        </w:rPr>
        <w:t>和</w:t>
      </w:r>
      <w:r w:rsidRPr="003A19FB">
        <w:rPr>
          <w:rFonts w:ascii="微软雅黑" w:eastAsia="微软雅黑" w:hAnsi="微软雅黑" w:cs="宋体" w:hint="eastAsia"/>
          <w:color w:val="333333"/>
          <w:kern w:val="0"/>
          <w:sz w:val="32"/>
          <w:szCs w:val="32"/>
        </w:rPr>
        <w:t>8.7%</w:t>
      </w:r>
      <w:r w:rsidRPr="003A19FB">
        <w:rPr>
          <w:rFonts w:ascii="楷体_GB2312" w:eastAsia="楷体_GB2312" w:hAnsi="微软雅黑" w:cs="宋体" w:hint="eastAsia"/>
          <w:color w:val="333333"/>
          <w:kern w:val="0"/>
          <w:sz w:val="32"/>
          <w:szCs w:val="32"/>
        </w:rPr>
        <w:t>。按此价格测算，</w:t>
      </w:r>
      <w:r w:rsidRPr="003A19FB">
        <w:rPr>
          <w:rFonts w:ascii="微软雅黑" w:eastAsia="微软雅黑" w:hAnsi="微软雅黑" w:cs="宋体" w:hint="eastAsia"/>
          <w:color w:val="333333"/>
          <w:kern w:val="0"/>
          <w:sz w:val="32"/>
          <w:szCs w:val="32"/>
        </w:rPr>
        <w:t>2020</w:t>
      </w:r>
      <w:r w:rsidRPr="003A19FB">
        <w:rPr>
          <w:rFonts w:ascii="楷体_GB2312" w:eastAsia="楷体_GB2312" w:hAnsi="微软雅黑" w:cs="宋体" w:hint="eastAsia"/>
          <w:color w:val="333333"/>
          <w:kern w:val="0"/>
          <w:sz w:val="32"/>
          <w:szCs w:val="32"/>
        </w:rPr>
        <w:t>年全省农户种植玉米、稻谷扣除成本前的产值分别为</w:t>
      </w:r>
      <w:r w:rsidRPr="003A19FB">
        <w:rPr>
          <w:rFonts w:ascii="微软雅黑" w:eastAsia="微软雅黑" w:hAnsi="微软雅黑" w:cs="宋体" w:hint="eastAsia"/>
          <w:color w:val="333333"/>
          <w:kern w:val="0"/>
          <w:sz w:val="32"/>
          <w:szCs w:val="32"/>
        </w:rPr>
        <w:t>957.1</w:t>
      </w:r>
      <w:r w:rsidRPr="003A19FB">
        <w:rPr>
          <w:rFonts w:ascii="楷体_GB2312" w:eastAsia="楷体_GB2312" w:hAnsi="微软雅黑" w:cs="宋体" w:hint="eastAsia"/>
          <w:color w:val="333333"/>
          <w:kern w:val="0"/>
          <w:sz w:val="32"/>
          <w:szCs w:val="32"/>
        </w:rPr>
        <w:t>元</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亩、</w:t>
      </w:r>
      <w:r w:rsidRPr="003A19FB">
        <w:rPr>
          <w:rFonts w:ascii="微软雅黑" w:eastAsia="微软雅黑" w:hAnsi="微软雅黑" w:cs="宋体" w:hint="eastAsia"/>
          <w:color w:val="333333"/>
          <w:kern w:val="0"/>
          <w:sz w:val="32"/>
          <w:szCs w:val="32"/>
        </w:rPr>
        <w:t>1520.7</w:t>
      </w:r>
      <w:r w:rsidRPr="003A19FB">
        <w:rPr>
          <w:rFonts w:ascii="楷体_GB2312" w:eastAsia="楷体_GB2312" w:hAnsi="微软雅黑" w:cs="宋体" w:hint="eastAsia"/>
          <w:color w:val="333333"/>
          <w:kern w:val="0"/>
          <w:sz w:val="32"/>
          <w:szCs w:val="32"/>
        </w:rPr>
        <w:t>元</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亩，分别比上年增长</w:t>
      </w:r>
      <w:r w:rsidRPr="003A19FB">
        <w:rPr>
          <w:rFonts w:ascii="微软雅黑" w:eastAsia="微软雅黑" w:hAnsi="微软雅黑" w:cs="宋体" w:hint="eastAsia"/>
          <w:color w:val="333333"/>
          <w:kern w:val="0"/>
          <w:sz w:val="32"/>
          <w:szCs w:val="32"/>
        </w:rPr>
        <w:t>33.4%</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8.9%</w:t>
      </w:r>
      <w:r w:rsidRPr="003A19FB">
        <w:rPr>
          <w:rFonts w:ascii="楷体_GB2312" w:eastAsia="楷体_GB2312" w:hAnsi="微软雅黑" w:cs="宋体" w:hint="eastAsia"/>
          <w:color w:val="333333"/>
          <w:kern w:val="0"/>
          <w:sz w:val="32"/>
          <w:szCs w:val="32"/>
        </w:rPr>
        <w:t>。</w:t>
      </w:r>
    </w:p>
    <w:p w14:paraId="476FCD6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1</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2019</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H</w:t>
      </w:r>
      <w:r w:rsidRPr="003A19FB">
        <w:rPr>
          <w:rFonts w:ascii="楷体_GB2312" w:eastAsia="楷体_GB2312" w:hAnsi="微软雅黑" w:cs="宋体" w:hint="eastAsia"/>
          <w:color w:val="333333"/>
          <w:kern w:val="0"/>
          <w:sz w:val="32"/>
          <w:szCs w:val="32"/>
        </w:rPr>
        <w:t>省秋粮稻谷的平均生产成本约为多少元</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亩？</w:t>
      </w:r>
    </w:p>
    <w:p w14:paraId="27279EAB"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548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533</w:t>
      </w:r>
    </w:p>
    <w:p w14:paraId="35FECD1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439                                     D</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450</w:t>
      </w:r>
    </w:p>
    <w:p w14:paraId="0B0E52A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3F84C69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w:t>
      </w:r>
      <w:r w:rsidRPr="003A19FB">
        <w:rPr>
          <w:rFonts w:ascii="楷体_GB2312" w:eastAsia="楷体_GB2312" w:hAnsi="微软雅黑" w:cs="宋体" w:hint="eastAsia"/>
          <w:color w:val="333333"/>
          <w:kern w:val="0"/>
          <w:sz w:val="32"/>
          <w:szCs w:val="32"/>
        </w:rPr>
        <w:t>）将</w:t>
      </w:r>
      <w:r w:rsidRPr="003A19FB">
        <w:rPr>
          <w:rFonts w:ascii="微软雅黑" w:eastAsia="微软雅黑" w:hAnsi="微软雅黑" w:cs="宋体" w:hint="eastAsia"/>
          <w:color w:val="333333"/>
          <w:kern w:val="0"/>
          <w:sz w:val="32"/>
          <w:szCs w:val="32"/>
        </w:rPr>
        <w:t>2020</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H</w:t>
      </w:r>
      <w:r w:rsidRPr="003A19FB">
        <w:rPr>
          <w:rFonts w:ascii="楷体_GB2312" w:eastAsia="楷体_GB2312" w:hAnsi="微软雅黑" w:cs="宋体" w:hint="eastAsia"/>
          <w:color w:val="333333"/>
          <w:kern w:val="0"/>
          <w:sz w:val="32"/>
          <w:szCs w:val="32"/>
        </w:rPr>
        <w:t>省秋粮机耕、机播、机收、排灌成本按同比增量从高到低的顺序排列，以下正确的是：</w:t>
      </w:r>
    </w:p>
    <w:p w14:paraId="63C2D84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．机耕、机播、机收、排灌</w:t>
      </w:r>
      <w:r w:rsidRPr="003A19FB">
        <w:rPr>
          <w:rFonts w:ascii="微软雅黑" w:eastAsia="微软雅黑" w:hAnsi="微软雅黑" w:cs="宋体" w:hint="eastAsia"/>
          <w:color w:val="333333"/>
          <w:kern w:val="0"/>
          <w:sz w:val="32"/>
          <w:szCs w:val="32"/>
        </w:rPr>
        <w:t>   </w:t>
      </w:r>
    </w:p>
    <w:p w14:paraId="44F11F8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．机收、排灌、机耕、机播</w:t>
      </w:r>
    </w:p>
    <w:p w14:paraId="7154175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．机耕、机播、排灌、机收</w:t>
      </w:r>
      <w:r w:rsidRPr="003A19FB">
        <w:rPr>
          <w:rFonts w:ascii="微软雅黑" w:eastAsia="微软雅黑" w:hAnsi="微软雅黑" w:cs="宋体" w:hint="eastAsia"/>
          <w:color w:val="333333"/>
          <w:kern w:val="0"/>
          <w:sz w:val="32"/>
          <w:szCs w:val="32"/>
        </w:rPr>
        <w:t>   </w:t>
      </w:r>
    </w:p>
    <w:p w14:paraId="420FA05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．机收、排灌、机播、机耕</w:t>
      </w:r>
    </w:p>
    <w:p w14:paraId="6C873E0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p>
    <w:p w14:paraId="1B63D8F5"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lastRenderedPageBreak/>
        <w:t>（</w:t>
      </w:r>
      <w:r w:rsidRPr="003A19FB">
        <w:rPr>
          <w:rFonts w:ascii="微软雅黑" w:eastAsia="微软雅黑" w:hAnsi="微软雅黑" w:cs="宋体" w:hint="eastAsia"/>
          <w:color w:val="333333"/>
          <w:kern w:val="0"/>
          <w:sz w:val="32"/>
          <w:szCs w:val="32"/>
        </w:rPr>
        <w:t>3</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2020</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H</w:t>
      </w:r>
      <w:r w:rsidRPr="003A19FB">
        <w:rPr>
          <w:rFonts w:ascii="楷体_GB2312" w:eastAsia="楷体_GB2312" w:hAnsi="微软雅黑" w:cs="宋体" w:hint="eastAsia"/>
          <w:color w:val="333333"/>
          <w:kern w:val="0"/>
          <w:sz w:val="32"/>
          <w:szCs w:val="32"/>
        </w:rPr>
        <w:t>省秋粮玉米和稻谷的亩产与上年相比：</w:t>
      </w:r>
    </w:p>
    <w:p w14:paraId="6086E1E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．仅稻谷亩产高于上年水平</w:t>
      </w:r>
      <w:r w:rsidRPr="003A19FB">
        <w:rPr>
          <w:rFonts w:ascii="微软雅黑" w:eastAsia="微软雅黑" w:hAnsi="微软雅黑" w:cs="宋体" w:hint="eastAsia"/>
          <w:color w:val="333333"/>
          <w:kern w:val="0"/>
          <w:sz w:val="32"/>
          <w:szCs w:val="32"/>
        </w:rPr>
        <w:t>   </w:t>
      </w:r>
    </w:p>
    <w:p w14:paraId="31945B6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B</w:t>
      </w:r>
      <w:r w:rsidRPr="003A19FB">
        <w:rPr>
          <w:rFonts w:ascii="楷体_GB2312" w:eastAsia="楷体_GB2312" w:hAnsi="微软雅黑" w:cs="宋体" w:hint="eastAsia"/>
          <w:color w:val="333333"/>
          <w:kern w:val="0"/>
          <w:sz w:val="32"/>
          <w:szCs w:val="32"/>
        </w:rPr>
        <w:t>．仅玉米亩产高于上年水平</w:t>
      </w:r>
    </w:p>
    <w:p w14:paraId="2382DF5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．两者亩产均低于上年水平</w:t>
      </w:r>
      <w:r w:rsidRPr="003A19FB">
        <w:rPr>
          <w:rFonts w:ascii="微软雅黑" w:eastAsia="微软雅黑" w:hAnsi="微软雅黑" w:cs="宋体" w:hint="eastAsia"/>
          <w:color w:val="333333"/>
          <w:kern w:val="0"/>
          <w:sz w:val="32"/>
          <w:szCs w:val="32"/>
        </w:rPr>
        <w:t>   </w:t>
      </w:r>
    </w:p>
    <w:p w14:paraId="6EBE3E6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．两者亩产均高于上年水平</w:t>
      </w:r>
    </w:p>
    <w:p w14:paraId="136BF72B"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2FF5DDB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4</w:t>
      </w:r>
      <w:r w:rsidRPr="003A19FB">
        <w:rPr>
          <w:rFonts w:ascii="楷体_GB2312" w:eastAsia="楷体_GB2312" w:hAnsi="微软雅黑" w:cs="宋体" w:hint="eastAsia"/>
          <w:color w:val="333333"/>
          <w:kern w:val="0"/>
          <w:sz w:val="32"/>
          <w:szCs w:val="32"/>
        </w:rPr>
        <w:t>）如种植收益</w:t>
      </w:r>
      <w:r w:rsidRPr="003A19FB">
        <w:rPr>
          <w:rFonts w:ascii="微软雅黑" w:eastAsia="微软雅黑" w:hAnsi="微软雅黑" w:cs="宋体" w:hint="eastAsia"/>
          <w:color w:val="333333"/>
          <w:kern w:val="0"/>
          <w:sz w:val="32"/>
          <w:szCs w:val="32"/>
        </w:rPr>
        <w:t>=</w:t>
      </w:r>
      <w:r w:rsidRPr="003A19FB">
        <w:rPr>
          <w:rFonts w:ascii="楷体_GB2312" w:eastAsia="楷体_GB2312" w:hAnsi="微软雅黑" w:cs="宋体" w:hint="eastAsia"/>
          <w:color w:val="333333"/>
          <w:kern w:val="0"/>
          <w:sz w:val="32"/>
          <w:szCs w:val="32"/>
        </w:rPr>
        <w:t>产值？生产成本，则</w:t>
      </w:r>
      <w:r w:rsidRPr="003A19FB">
        <w:rPr>
          <w:rFonts w:ascii="微软雅黑" w:eastAsia="微软雅黑" w:hAnsi="微软雅黑" w:cs="宋体" w:hint="eastAsia"/>
          <w:color w:val="333333"/>
          <w:kern w:val="0"/>
          <w:sz w:val="32"/>
          <w:szCs w:val="32"/>
        </w:rPr>
        <w:t>2020</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H</w:t>
      </w:r>
      <w:r w:rsidRPr="003A19FB">
        <w:rPr>
          <w:rFonts w:ascii="楷体_GB2312" w:eastAsia="楷体_GB2312" w:hAnsi="微软雅黑" w:cs="宋体" w:hint="eastAsia"/>
          <w:color w:val="333333"/>
          <w:kern w:val="0"/>
          <w:sz w:val="32"/>
          <w:szCs w:val="32"/>
        </w:rPr>
        <w:t>省秋粮稻谷平均每亩的种植收益约是玉米的多少倍？</w:t>
      </w:r>
    </w:p>
    <w:p w14:paraId="0646F4E5"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0.5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0.7</w:t>
      </w:r>
    </w:p>
    <w:p w14:paraId="6B2DB90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1.6                                      D</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1.9</w:t>
      </w:r>
    </w:p>
    <w:p w14:paraId="541F1D99"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（答案：</w:t>
      </w:r>
      <w:r w:rsidRPr="003A19FB">
        <w:rPr>
          <w:rFonts w:ascii="微软雅黑" w:eastAsia="微软雅黑" w:hAnsi="微软雅黑" w:cs="宋体" w:hint="eastAsia"/>
          <w:color w:val="333333"/>
          <w:kern w:val="0"/>
          <w:sz w:val="32"/>
          <w:szCs w:val="32"/>
        </w:rPr>
        <w:t>D</w:t>
      </w:r>
      <w:r w:rsidRPr="003A19FB">
        <w:rPr>
          <w:rFonts w:ascii="楷体_GB2312" w:eastAsia="楷体_GB2312" w:hAnsi="微软雅黑" w:cs="宋体" w:hint="eastAsia"/>
          <w:color w:val="333333"/>
          <w:kern w:val="0"/>
          <w:sz w:val="32"/>
          <w:szCs w:val="32"/>
        </w:rPr>
        <w:t>。）</w:t>
      </w:r>
    </w:p>
    <w:p w14:paraId="48BF664D"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5</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2020</w:t>
      </w:r>
      <w:r w:rsidRPr="003A19FB">
        <w:rPr>
          <w:rFonts w:ascii="楷体_GB2312" w:eastAsia="楷体_GB2312" w:hAnsi="微软雅黑" w:cs="宋体" w:hint="eastAsia"/>
          <w:color w:val="333333"/>
          <w:kern w:val="0"/>
          <w:sz w:val="32"/>
          <w:szCs w:val="32"/>
        </w:rPr>
        <w:t>年，</w:t>
      </w:r>
      <w:r w:rsidRPr="003A19FB">
        <w:rPr>
          <w:rFonts w:ascii="微软雅黑" w:eastAsia="微软雅黑" w:hAnsi="微软雅黑" w:cs="宋体" w:hint="eastAsia"/>
          <w:color w:val="333333"/>
          <w:kern w:val="0"/>
          <w:sz w:val="32"/>
          <w:szCs w:val="32"/>
        </w:rPr>
        <w:t>H</w:t>
      </w:r>
      <w:r w:rsidRPr="003A19FB">
        <w:rPr>
          <w:rFonts w:ascii="楷体_GB2312" w:eastAsia="楷体_GB2312" w:hAnsi="微软雅黑" w:cs="宋体" w:hint="eastAsia"/>
          <w:color w:val="333333"/>
          <w:kern w:val="0"/>
          <w:sz w:val="32"/>
          <w:szCs w:val="32"/>
        </w:rPr>
        <w:t>省农民老王在承包地中种植秋粮玉米，按全省平均生产成本估算，他在种子和农药上需要花费</w:t>
      </w:r>
      <w:r w:rsidRPr="003A19FB">
        <w:rPr>
          <w:rFonts w:ascii="微软雅黑" w:eastAsia="微软雅黑" w:hAnsi="微软雅黑" w:cs="宋体" w:hint="eastAsia"/>
          <w:color w:val="333333"/>
          <w:kern w:val="0"/>
          <w:sz w:val="32"/>
          <w:szCs w:val="32"/>
        </w:rPr>
        <w:t>2000</w:t>
      </w:r>
      <w:r w:rsidRPr="003A19FB">
        <w:rPr>
          <w:rFonts w:ascii="楷体_GB2312" w:eastAsia="楷体_GB2312" w:hAnsi="微软雅黑" w:cs="宋体" w:hint="eastAsia"/>
          <w:color w:val="333333"/>
          <w:kern w:val="0"/>
          <w:sz w:val="32"/>
          <w:szCs w:val="32"/>
        </w:rPr>
        <w:t>元。如亦按全省平均生产成本估算，他需要花费的人工成本在以下哪个范围内？</w:t>
      </w:r>
    </w:p>
    <w:p w14:paraId="71C46B24"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A</w:t>
      </w:r>
      <w:r w:rsidRPr="003A19FB">
        <w:rPr>
          <w:rFonts w:ascii="楷体_GB2312" w:eastAsia="楷体_GB2312" w:hAnsi="微软雅黑" w:cs="宋体" w:hint="eastAsia"/>
          <w:color w:val="333333"/>
          <w:kern w:val="0"/>
          <w:sz w:val="32"/>
          <w:szCs w:val="32"/>
        </w:rPr>
        <w:t>．不到</w:t>
      </w:r>
      <w:r w:rsidRPr="003A19FB">
        <w:rPr>
          <w:rFonts w:ascii="微软雅黑" w:eastAsia="微软雅黑" w:hAnsi="微软雅黑" w:cs="宋体" w:hint="eastAsia"/>
          <w:color w:val="333333"/>
          <w:kern w:val="0"/>
          <w:sz w:val="32"/>
          <w:szCs w:val="32"/>
        </w:rPr>
        <w:t>2000</w:t>
      </w:r>
      <w:r w:rsidRPr="003A19FB">
        <w:rPr>
          <w:rFonts w:ascii="楷体_GB2312" w:eastAsia="楷体_GB2312" w:hAnsi="微软雅黑" w:cs="宋体" w:hint="eastAsia"/>
          <w:color w:val="333333"/>
          <w:kern w:val="0"/>
          <w:sz w:val="32"/>
          <w:szCs w:val="32"/>
        </w:rPr>
        <w:t>元</w:t>
      </w:r>
      <w:r w:rsidRPr="003A19FB">
        <w:rPr>
          <w:rFonts w:ascii="微软雅黑" w:eastAsia="微软雅黑" w:hAnsi="微软雅黑" w:cs="宋体" w:hint="eastAsia"/>
          <w:color w:val="333333"/>
          <w:kern w:val="0"/>
          <w:sz w:val="32"/>
          <w:szCs w:val="32"/>
        </w:rPr>
        <w:t>                     B</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2000</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2500</w:t>
      </w:r>
      <w:r w:rsidRPr="003A19FB">
        <w:rPr>
          <w:rFonts w:ascii="楷体_GB2312" w:eastAsia="楷体_GB2312" w:hAnsi="微软雅黑" w:cs="宋体" w:hint="eastAsia"/>
          <w:color w:val="333333"/>
          <w:kern w:val="0"/>
          <w:sz w:val="32"/>
          <w:szCs w:val="32"/>
        </w:rPr>
        <w:t>元之间</w:t>
      </w:r>
    </w:p>
    <w:p w14:paraId="174F35B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2500</w:t>
      </w:r>
      <w:r w:rsidRPr="003A19FB">
        <w:rPr>
          <w:rFonts w:ascii="楷体_GB2312" w:eastAsia="楷体_GB2312" w:hAnsi="微软雅黑" w:cs="宋体" w:hint="eastAsia"/>
          <w:color w:val="333333"/>
          <w:kern w:val="0"/>
          <w:sz w:val="32"/>
          <w:szCs w:val="32"/>
        </w:rPr>
        <w:t>～</w:t>
      </w:r>
      <w:r w:rsidRPr="003A19FB">
        <w:rPr>
          <w:rFonts w:ascii="微软雅黑" w:eastAsia="微软雅黑" w:hAnsi="微软雅黑" w:cs="宋体" w:hint="eastAsia"/>
          <w:color w:val="333333"/>
          <w:kern w:val="0"/>
          <w:sz w:val="32"/>
          <w:szCs w:val="32"/>
        </w:rPr>
        <w:t>3000</w:t>
      </w:r>
      <w:r w:rsidRPr="003A19FB">
        <w:rPr>
          <w:rFonts w:ascii="楷体_GB2312" w:eastAsia="楷体_GB2312" w:hAnsi="微软雅黑" w:cs="宋体" w:hint="eastAsia"/>
          <w:color w:val="333333"/>
          <w:kern w:val="0"/>
          <w:sz w:val="32"/>
          <w:szCs w:val="32"/>
        </w:rPr>
        <w:t>元之间</w:t>
      </w:r>
      <w:r w:rsidRPr="003A19FB">
        <w:rPr>
          <w:rFonts w:ascii="微软雅黑" w:eastAsia="微软雅黑" w:hAnsi="微软雅黑" w:cs="宋体" w:hint="eastAsia"/>
          <w:color w:val="333333"/>
          <w:kern w:val="0"/>
          <w:sz w:val="32"/>
          <w:szCs w:val="32"/>
        </w:rPr>
        <w:t>          D</w:t>
      </w:r>
      <w:r w:rsidRPr="003A19FB">
        <w:rPr>
          <w:rFonts w:ascii="楷体_GB2312" w:eastAsia="楷体_GB2312" w:hAnsi="微软雅黑" w:cs="宋体" w:hint="eastAsia"/>
          <w:color w:val="333333"/>
          <w:kern w:val="0"/>
          <w:sz w:val="32"/>
          <w:szCs w:val="32"/>
        </w:rPr>
        <w:t>．超过</w:t>
      </w:r>
      <w:r w:rsidRPr="003A19FB">
        <w:rPr>
          <w:rFonts w:ascii="微软雅黑" w:eastAsia="微软雅黑" w:hAnsi="微软雅黑" w:cs="宋体" w:hint="eastAsia"/>
          <w:color w:val="333333"/>
          <w:kern w:val="0"/>
          <w:sz w:val="32"/>
          <w:szCs w:val="32"/>
        </w:rPr>
        <w:t>3000</w:t>
      </w:r>
      <w:r w:rsidRPr="003A19FB">
        <w:rPr>
          <w:rFonts w:ascii="楷体_GB2312" w:eastAsia="楷体_GB2312" w:hAnsi="微软雅黑" w:cs="宋体" w:hint="eastAsia"/>
          <w:color w:val="333333"/>
          <w:kern w:val="0"/>
          <w:sz w:val="32"/>
          <w:szCs w:val="32"/>
        </w:rPr>
        <w:t>元</w:t>
      </w:r>
    </w:p>
    <w:p w14:paraId="54CDA8F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lastRenderedPageBreak/>
        <w:t>（答案：</w:t>
      </w:r>
      <w:r w:rsidRPr="003A19FB">
        <w:rPr>
          <w:rFonts w:ascii="微软雅黑" w:eastAsia="微软雅黑" w:hAnsi="微软雅黑" w:cs="宋体" w:hint="eastAsia"/>
          <w:color w:val="333333"/>
          <w:kern w:val="0"/>
          <w:sz w:val="32"/>
          <w:szCs w:val="32"/>
        </w:rPr>
        <w:t>C</w:t>
      </w:r>
      <w:r w:rsidRPr="003A19FB">
        <w:rPr>
          <w:rFonts w:ascii="楷体_GB2312" w:eastAsia="楷体_GB2312" w:hAnsi="微软雅黑" w:cs="宋体" w:hint="eastAsia"/>
          <w:color w:val="333333"/>
          <w:kern w:val="0"/>
          <w:sz w:val="32"/>
          <w:szCs w:val="32"/>
        </w:rPr>
        <w:t>。）</w:t>
      </w:r>
    </w:p>
    <w:p w14:paraId="70D8F27C"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黑体" w:eastAsia="黑体" w:hAnsi="黑体" w:cs="宋体" w:hint="eastAsia"/>
          <w:color w:val="333333"/>
          <w:kern w:val="0"/>
          <w:sz w:val="32"/>
          <w:szCs w:val="32"/>
        </w:rPr>
        <w:t>二、申论</w:t>
      </w:r>
    </w:p>
    <w:p w14:paraId="4DDB738F"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color w:val="333333"/>
          <w:kern w:val="0"/>
          <w:sz w:val="32"/>
          <w:szCs w:val="32"/>
        </w:rPr>
        <w:t>申论试卷由“注意事项”、“给定资料”、“作答要求”三部分组成。“注意事项”是对申论试卷作答提出的重要指导性建议，包括试卷构成、作答时间、作答时需要特别注意的事项等。考试时，报考者应仔细阅读“注意事项”，遵守相关要求，合理把握作答时间，正确填写填涂姓名、准考证号等信息，使用现代汉语在答题卡上正确的位置作答。“给定资料”是需要报考者阅读的有关材料，是完成“作答要求”的基础。“给定资料”所反映的是经济社会发展中的某些事例，对经济、政治、文化、社会、生态等方面都有可能涉及。</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作答要求</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是报考者在阅读“给定资料”的基础上需要完成的若干任务。</w:t>
      </w:r>
    </w:p>
    <w:p w14:paraId="76ED202B"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color w:val="333333"/>
          <w:kern w:val="0"/>
          <w:sz w:val="32"/>
          <w:szCs w:val="32"/>
        </w:rPr>
        <w:t>申论试卷按照中央机关及其省级直属机构综合管理类、市（地）级及以下直属机构综合管理类和行政执法类三类职位，分别命制试题。</w:t>
      </w:r>
    </w:p>
    <w:p w14:paraId="01F80F0E"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（一）中央机关及其省级直属机构综合管理类职位。</w:t>
      </w:r>
      <w:r w:rsidRPr="003A19FB">
        <w:rPr>
          <w:rFonts w:ascii="仿宋_GB2312" w:eastAsia="仿宋_GB2312" w:hAnsi="微软雅黑" w:cs="宋体" w:hint="eastAsia"/>
          <w:color w:val="333333"/>
          <w:kern w:val="0"/>
          <w:sz w:val="32"/>
          <w:szCs w:val="32"/>
        </w:rPr>
        <w:t>主要测查报考者的阅读理解能力、综合分析能力、提出和解决问题能力、文字表达能力。</w:t>
      </w:r>
    </w:p>
    <w:p w14:paraId="24664243"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lastRenderedPageBreak/>
        <w:t>阅读理解能力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全面把握给定资料的相关内容，准确理解给定资料的含义，准确提炼事实所包含的观点，并揭示所反映的本质问题。</w:t>
      </w:r>
    </w:p>
    <w:p w14:paraId="0208C45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综合分析能力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对给定资料的全部或部分的内容、观点或问题进行分析和归纳，多角度地思考资料内容，作出合理的推断或评价。</w:t>
      </w:r>
    </w:p>
    <w:p w14:paraId="2560C001"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提出和解决问题能力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准确理解把握给定资料所反映的问题，提出解决问题的措施或办法。</w:t>
      </w:r>
    </w:p>
    <w:p w14:paraId="0BB2B904" w14:textId="77777777" w:rsidR="003A19FB" w:rsidRPr="003A19FB" w:rsidRDefault="003A19FB" w:rsidP="003A19FB">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文字表达能力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熟练使用指定的语种，运用说明、陈述、议论等方式，准确规范、简明畅达地表述思想观点。</w:t>
      </w:r>
    </w:p>
    <w:p w14:paraId="62707FFB"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（二）市（地）级及以下直属机构综合管理类职位。</w:t>
      </w:r>
      <w:r w:rsidRPr="003A19FB">
        <w:rPr>
          <w:rFonts w:ascii="仿宋_GB2312" w:eastAsia="仿宋_GB2312" w:hAnsi="微软雅黑" w:cs="宋体" w:hint="eastAsia"/>
          <w:color w:val="333333"/>
          <w:kern w:val="0"/>
          <w:sz w:val="32"/>
          <w:szCs w:val="32"/>
        </w:rPr>
        <w:t>主要测查报考者的阅读理解能力、贯彻执行能力、解决问题能力和文字表达能力。</w:t>
      </w:r>
    </w:p>
    <w:p w14:paraId="10EA9C80"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阅读理解能力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能够理解给定资料的主要内容，把握给定资料各部分之间的关系，对给定资料所涉及的观点、事实作出恰当的解释。</w:t>
      </w:r>
    </w:p>
    <w:p w14:paraId="13828596"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贯彻执行能力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能够准确理解工作目标和组织意图，遵循依法行政的原则，根据客观实际情况，及时有效地完成任务。</w:t>
      </w:r>
    </w:p>
    <w:p w14:paraId="114B8FFB" w14:textId="77777777" w:rsidR="003A19FB" w:rsidRPr="003A19FB" w:rsidRDefault="003A19FB" w:rsidP="003A19FB">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lastRenderedPageBreak/>
        <w:t>解决问题能力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对给定资料所反映的问题进行分析，并提出解决的措施或办法。</w:t>
      </w:r>
    </w:p>
    <w:p w14:paraId="1ADF4469" w14:textId="77777777" w:rsidR="003A19FB" w:rsidRPr="003A19FB" w:rsidRDefault="003A19FB" w:rsidP="003A19FB">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文字表达能力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熟练使用指定的语种，对事件、观点进行准确合理的说明、陈述或阐释。</w:t>
      </w:r>
    </w:p>
    <w:p w14:paraId="02503AC7"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楷体_GB2312" w:eastAsia="楷体_GB2312" w:hAnsi="微软雅黑" w:cs="宋体" w:hint="eastAsia"/>
          <w:color w:val="333333"/>
          <w:kern w:val="0"/>
          <w:sz w:val="32"/>
          <w:szCs w:val="32"/>
        </w:rPr>
        <w:t>（三）行政执法类职位。</w:t>
      </w:r>
      <w:r w:rsidRPr="003A19FB">
        <w:rPr>
          <w:rFonts w:ascii="仿宋_GB2312" w:eastAsia="仿宋_GB2312" w:hAnsi="微软雅黑" w:cs="宋体" w:hint="eastAsia"/>
          <w:color w:val="333333"/>
          <w:kern w:val="0"/>
          <w:sz w:val="32"/>
          <w:szCs w:val="32"/>
        </w:rPr>
        <w:t>主要测查报考者的阅读理解能力、依法办事能力、公共服务能力和文字表达能力。</w:t>
      </w:r>
    </w:p>
    <w:p w14:paraId="5AEB9478" w14:textId="77777777" w:rsidR="003A19FB" w:rsidRPr="003A19FB" w:rsidRDefault="003A19FB" w:rsidP="003A19FB">
      <w:pPr>
        <w:widowControl/>
        <w:shd w:val="clear" w:color="auto" w:fill="FFFFFF"/>
        <w:spacing w:before="100" w:beforeAutospacing="1" w:after="100" w:afterAutospacing="1" w:line="555" w:lineRule="atLeast"/>
        <w:ind w:firstLine="720"/>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阅读理解能力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准确理解归纳给定资料的主要内容，对所涉及的观点和事实进行恰当的解释，并作出合理的推断。</w:t>
      </w:r>
    </w:p>
    <w:p w14:paraId="1AABB7EF" w14:textId="77777777" w:rsidR="003A19FB" w:rsidRPr="003A19FB" w:rsidRDefault="003A19FB" w:rsidP="003A19FB">
      <w:pPr>
        <w:widowControl/>
        <w:shd w:val="clear" w:color="auto" w:fill="FFFFFF"/>
        <w:spacing w:before="100" w:beforeAutospacing="1" w:after="100" w:afterAutospacing="1" w:line="555" w:lineRule="atLeast"/>
        <w:ind w:firstLine="720"/>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依法办事能力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遵循依法行政的原则，综合运用恰当有效的方法完成任务、解决问题、实现目标。</w:t>
      </w:r>
    </w:p>
    <w:p w14:paraId="48BC0B5D" w14:textId="77777777" w:rsidR="003A19FB" w:rsidRPr="003A19FB" w:rsidRDefault="003A19FB" w:rsidP="003A19FB">
      <w:pPr>
        <w:widowControl/>
        <w:shd w:val="clear" w:color="auto" w:fill="FFFFFF"/>
        <w:spacing w:before="100" w:beforeAutospacing="1" w:after="100" w:afterAutospacing="1" w:line="555" w:lineRule="atLeast"/>
        <w:ind w:firstLine="720"/>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公共服务能力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能够全面准确了解公众需求和愿望，灵活运用各种措施和办法为公众提供优质、高效、便捷的服务。</w:t>
      </w:r>
    </w:p>
    <w:p w14:paraId="710CC9D2" w14:textId="77777777" w:rsidR="003A19FB" w:rsidRPr="003A19FB" w:rsidRDefault="003A19FB" w:rsidP="003A19FB">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3A19FB">
        <w:rPr>
          <w:rFonts w:ascii="仿宋_GB2312" w:eastAsia="仿宋_GB2312" w:hAnsi="微软雅黑" w:cs="宋体" w:hint="eastAsia"/>
          <w:b/>
          <w:bCs/>
          <w:color w:val="333333"/>
          <w:kern w:val="0"/>
          <w:sz w:val="32"/>
          <w:szCs w:val="32"/>
        </w:rPr>
        <w:t>文字表达能力</w:t>
      </w:r>
      <w:r w:rsidRPr="003A19FB">
        <w:rPr>
          <w:rFonts w:ascii="微软雅黑" w:eastAsia="微软雅黑" w:hAnsi="微软雅黑" w:cs="宋体" w:hint="eastAsia"/>
          <w:color w:val="333333"/>
          <w:kern w:val="0"/>
          <w:sz w:val="32"/>
          <w:szCs w:val="32"/>
        </w:rPr>
        <w:t>——</w:t>
      </w:r>
      <w:r w:rsidRPr="003A19FB">
        <w:rPr>
          <w:rFonts w:ascii="仿宋_GB2312" w:eastAsia="仿宋_GB2312" w:hAnsi="微软雅黑" w:cs="宋体" w:hint="eastAsia"/>
          <w:color w:val="333333"/>
          <w:kern w:val="0"/>
          <w:sz w:val="32"/>
          <w:szCs w:val="32"/>
        </w:rPr>
        <w:t>熟练使用指定的语种，对事件、观点进行准确合理的说明、陈述或阐释。</w:t>
      </w:r>
    </w:p>
    <w:p w14:paraId="42806CF4" w14:textId="77777777" w:rsidR="006977DC" w:rsidRPr="003A19FB" w:rsidRDefault="006977DC" w:rsidP="003A19FB"/>
    <w:sectPr w:rsidR="006977DC" w:rsidRPr="003A19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汉仪书宋二S">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08"/>
    <w:rsid w:val="00296E87"/>
    <w:rsid w:val="003A19FB"/>
    <w:rsid w:val="006977DC"/>
    <w:rsid w:val="00DF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5A91-BC23-4572-A7A4-311DBED2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96E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96E87"/>
    <w:rPr>
      <w:rFonts w:ascii="宋体" w:eastAsia="宋体" w:hAnsi="宋体" w:cs="宋体"/>
      <w:b/>
      <w:bCs/>
      <w:kern w:val="36"/>
      <w:sz w:val="48"/>
      <w:szCs w:val="48"/>
    </w:rPr>
  </w:style>
  <w:style w:type="paragraph" w:customStyle="1" w:styleId="msonormal0">
    <w:name w:val="msonormal"/>
    <w:basedOn w:val="a"/>
    <w:rsid w:val="00296E8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96E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6E87"/>
    <w:rPr>
      <w:b/>
      <w:bCs/>
    </w:rPr>
  </w:style>
  <w:style w:type="paragraph" w:styleId="a5">
    <w:name w:val="List Paragraph"/>
    <w:basedOn w:val="a"/>
    <w:uiPriority w:val="34"/>
    <w:qFormat/>
    <w:rsid w:val="00296E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8196">
      <w:bodyDiv w:val="1"/>
      <w:marLeft w:val="0"/>
      <w:marRight w:val="0"/>
      <w:marTop w:val="0"/>
      <w:marBottom w:val="0"/>
      <w:divBdr>
        <w:top w:val="none" w:sz="0" w:space="0" w:color="auto"/>
        <w:left w:val="none" w:sz="0" w:space="0" w:color="auto"/>
        <w:bottom w:val="none" w:sz="0" w:space="0" w:color="auto"/>
        <w:right w:val="none" w:sz="0" w:space="0" w:color="auto"/>
      </w:divBdr>
      <w:divsChild>
        <w:div w:id="993990471">
          <w:marLeft w:val="0"/>
          <w:marRight w:val="0"/>
          <w:marTop w:val="0"/>
          <w:marBottom w:val="0"/>
          <w:divBdr>
            <w:top w:val="none" w:sz="0" w:space="0" w:color="auto"/>
            <w:left w:val="none" w:sz="0" w:space="0" w:color="auto"/>
            <w:bottom w:val="none" w:sz="0" w:space="0" w:color="auto"/>
            <w:right w:val="none" w:sz="0" w:space="0" w:color="auto"/>
          </w:divBdr>
        </w:div>
        <w:div w:id="438840641">
          <w:marLeft w:val="0"/>
          <w:marRight w:val="0"/>
          <w:marTop w:val="150"/>
          <w:marBottom w:val="150"/>
          <w:divBdr>
            <w:top w:val="dashed" w:sz="6" w:space="15" w:color="E3E3E3"/>
            <w:left w:val="dashed" w:sz="6" w:space="15" w:color="E3E3E3"/>
            <w:bottom w:val="dashed" w:sz="6" w:space="15" w:color="E3E3E3"/>
            <w:right w:val="dashed" w:sz="6" w:space="15" w:color="E3E3E3"/>
          </w:divBdr>
        </w:div>
      </w:divsChild>
    </w:div>
    <w:div w:id="18797748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618">
          <w:marLeft w:val="0"/>
          <w:marRight w:val="0"/>
          <w:marTop w:val="0"/>
          <w:marBottom w:val="0"/>
          <w:divBdr>
            <w:top w:val="none" w:sz="0" w:space="0" w:color="auto"/>
            <w:left w:val="none" w:sz="0" w:space="0" w:color="auto"/>
            <w:bottom w:val="none" w:sz="0" w:space="0" w:color="auto"/>
            <w:right w:val="none" w:sz="0" w:space="0" w:color="auto"/>
          </w:divBdr>
        </w:div>
        <w:div w:id="2003268916">
          <w:marLeft w:val="0"/>
          <w:marRight w:val="0"/>
          <w:marTop w:val="150"/>
          <w:marBottom w:val="150"/>
          <w:divBdr>
            <w:top w:val="dashed" w:sz="6" w:space="15" w:color="E3E3E3"/>
            <w:left w:val="dashed" w:sz="6" w:space="15" w:color="E3E3E3"/>
            <w:bottom w:val="dashed" w:sz="6" w:space="15" w:color="E3E3E3"/>
            <w:right w:val="dashed" w:sz="6" w:space="15" w:color="E3E3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2511</Words>
  <Characters>14317</Characters>
  <Application>Microsoft Office Word</Application>
  <DocSecurity>0</DocSecurity>
  <Lines>119</Lines>
  <Paragraphs>33</Paragraphs>
  <ScaleCrop>false</ScaleCrop>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贵州好工作</dc:title>
  <dc:subject/>
  <dc:creator>Rick Hunter</dc:creator>
  <cp:keywords/>
  <dc:description>www.gzhgz.com</dc:description>
  <cp:lastModifiedBy>Rick Hunter</cp:lastModifiedBy>
  <cp:revision>3</cp:revision>
  <dcterms:created xsi:type="dcterms:W3CDTF">2023-10-14T09:47:00Z</dcterms:created>
  <dcterms:modified xsi:type="dcterms:W3CDTF">2023-10-14T09:49:00Z</dcterms:modified>
</cp:coreProperties>
</file>